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6A0" w:rsidRPr="00921F69" w:rsidRDefault="00275860">
      <w:pPr>
        <w:rPr>
          <w:rFonts w:ascii="Times New Roman" w:hAnsi="Times New Roman" w:cs="Times New Roman"/>
          <w:b/>
          <w:sz w:val="24"/>
          <w:szCs w:val="24"/>
        </w:rPr>
      </w:pPr>
      <w:r w:rsidRPr="00921F69">
        <w:rPr>
          <w:rFonts w:ascii="Times New Roman" w:hAnsi="Times New Roman" w:cs="Times New Roman"/>
          <w:b/>
          <w:sz w:val="24"/>
          <w:szCs w:val="24"/>
        </w:rPr>
        <w:t>04005 MINISTARSTVO UNUTARNJIH POSLOVA</w:t>
      </w:r>
    </w:p>
    <w:p w:rsidR="00F92D63" w:rsidRPr="00921F69" w:rsidRDefault="00F92D63">
      <w:pPr>
        <w:rPr>
          <w:rFonts w:ascii="Times New Roman" w:hAnsi="Times New Roman" w:cs="Times New Roman"/>
          <w:b/>
          <w:sz w:val="24"/>
          <w:szCs w:val="24"/>
        </w:rPr>
      </w:pPr>
    </w:p>
    <w:p w:rsidR="00E35C98" w:rsidRPr="00921F69" w:rsidRDefault="00E35C98" w:rsidP="00A441EA">
      <w:pPr>
        <w:jc w:val="center"/>
        <w:rPr>
          <w:rFonts w:ascii="Times New Roman" w:hAnsi="Times New Roman" w:cs="Times New Roman"/>
          <w:b/>
          <w:sz w:val="24"/>
          <w:szCs w:val="24"/>
        </w:rPr>
      </w:pPr>
      <w:r w:rsidRPr="00921F69">
        <w:rPr>
          <w:rFonts w:ascii="Times New Roman" w:hAnsi="Times New Roman" w:cs="Times New Roman"/>
          <w:b/>
          <w:sz w:val="24"/>
          <w:szCs w:val="24"/>
        </w:rPr>
        <w:t>IZVJEŠTAJ O KORIŠTENJU SREDSTAVA FONDOVA EUROPSKE UNIJE</w:t>
      </w:r>
    </w:p>
    <w:p w:rsidR="00A441EA" w:rsidRPr="00921F69" w:rsidRDefault="00CE1C1C" w:rsidP="00A441EA">
      <w:pPr>
        <w:jc w:val="center"/>
        <w:rPr>
          <w:rFonts w:ascii="Times New Roman" w:hAnsi="Times New Roman" w:cs="Times New Roman"/>
          <w:b/>
          <w:sz w:val="24"/>
          <w:szCs w:val="24"/>
        </w:rPr>
      </w:pPr>
      <w:r w:rsidRPr="00921F69">
        <w:rPr>
          <w:rFonts w:ascii="Times New Roman" w:hAnsi="Times New Roman" w:cs="Times New Roman"/>
          <w:b/>
          <w:sz w:val="24"/>
          <w:szCs w:val="24"/>
        </w:rPr>
        <w:t xml:space="preserve"> ZA 2024</w:t>
      </w:r>
      <w:r w:rsidR="00275860" w:rsidRPr="00921F69">
        <w:rPr>
          <w:rFonts w:ascii="Times New Roman" w:hAnsi="Times New Roman" w:cs="Times New Roman"/>
          <w:b/>
          <w:sz w:val="24"/>
          <w:szCs w:val="24"/>
        </w:rPr>
        <w:t>. GODINU</w:t>
      </w:r>
    </w:p>
    <w:p w:rsidR="00103E16" w:rsidRPr="00921F69" w:rsidRDefault="00103E16" w:rsidP="00A441EA">
      <w:pPr>
        <w:jc w:val="both"/>
        <w:rPr>
          <w:rFonts w:ascii="Times New Roman" w:hAnsi="Times New Roman" w:cs="Times New Roman"/>
          <w:sz w:val="24"/>
          <w:szCs w:val="24"/>
        </w:rPr>
      </w:pPr>
    </w:p>
    <w:p w:rsidR="006C4753" w:rsidRPr="00921F69" w:rsidRDefault="006C4753" w:rsidP="00A441EA">
      <w:pPr>
        <w:jc w:val="both"/>
        <w:rPr>
          <w:rFonts w:ascii="Times New Roman" w:hAnsi="Times New Roman" w:cs="Times New Roman"/>
          <w:b/>
          <w:sz w:val="24"/>
          <w:szCs w:val="24"/>
        </w:rPr>
      </w:pPr>
      <w:r w:rsidRPr="00921F69">
        <w:rPr>
          <w:rFonts w:ascii="Times New Roman" w:hAnsi="Times New Roman" w:cs="Times New Roman"/>
          <w:b/>
          <w:sz w:val="24"/>
          <w:szCs w:val="24"/>
        </w:rPr>
        <w:t>VLASTITI PRIHODI</w:t>
      </w:r>
      <w:r w:rsidR="009F24A9" w:rsidRPr="00921F69">
        <w:rPr>
          <w:rFonts w:ascii="Times New Roman" w:hAnsi="Times New Roman" w:cs="Times New Roman"/>
          <w:b/>
          <w:sz w:val="24"/>
          <w:szCs w:val="24"/>
        </w:rPr>
        <w:t xml:space="preserve"> – IZVOR 31</w:t>
      </w:r>
    </w:p>
    <w:p w:rsidR="001C5BDA" w:rsidRPr="00921F69" w:rsidRDefault="001C5BDA" w:rsidP="00A441EA">
      <w:pPr>
        <w:jc w:val="both"/>
        <w:rPr>
          <w:rFonts w:ascii="Times New Roman" w:hAnsi="Times New Roman" w:cs="Times New Roman"/>
          <w:b/>
          <w:sz w:val="24"/>
          <w:szCs w:val="24"/>
        </w:rPr>
      </w:pPr>
    </w:p>
    <w:p w:rsidR="0049410B" w:rsidRPr="00921F69" w:rsidRDefault="009F24A9" w:rsidP="00E739DF">
      <w:pPr>
        <w:rPr>
          <w:rFonts w:ascii="Times New Roman" w:hAnsi="Times New Roman" w:cs="Times New Roman"/>
          <w:b/>
          <w:sz w:val="24"/>
          <w:szCs w:val="24"/>
        </w:rPr>
      </w:pPr>
      <w:r w:rsidRPr="00921F69">
        <w:rPr>
          <w:rFonts w:ascii="Times New Roman" w:hAnsi="Times New Roman" w:cs="Times New Roman"/>
          <w:b/>
          <w:sz w:val="24"/>
          <w:szCs w:val="24"/>
        </w:rPr>
        <w:t>T553155 IPA 2012 PODRŠKA U PODRUČJU KAZNENO</w:t>
      </w:r>
      <w:r w:rsidR="0049410B" w:rsidRPr="00921F69">
        <w:rPr>
          <w:rFonts w:ascii="Times New Roman" w:hAnsi="Times New Roman" w:cs="Times New Roman"/>
          <w:b/>
          <w:sz w:val="24"/>
          <w:szCs w:val="24"/>
        </w:rPr>
        <w:t>G PROGONA U BOSNI I HERCEGOVINI</w:t>
      </w:r>
    </w:p>
    <w:p w:rsidR="009F24A9" w:rsidRDefault="009242DC" w:rsidP="00BC39BF">
      <w:pPr>
        <w:spacing w:line="360" w:lineRule="auto"/>
        <w:ind w:firstLine="708"/>
        <w:jc w:val="both"/>
        <w:rPr>
          <w:rFonts w:ascii="Times New Roman" w:hAnsi="Times New Roman" w:cs="Times New Roman"/>
          <w:sz w:val="24"/>
          <w:szCs w:val="24"/>
        </w:rPr>
      </w:pPr>
      <w:r w:rsidRPr="00921F69">
        <w:rPr>
          <w:rFonts w:ascii="Times New Roman" w:hAnsi="Times New Roman" w:cs="Times New Roman"/>
          <w:sz w:val="24"/>
          <w:szCs w:val="24"/>
        </w:rPr>
        <w:t>Ukupno planirana sredstva u 2024. godini na Izvoru 31 Vlastiti prihodi iznosila su 10.000 EUR, a plaćeno je 4.040 EUR. Kroz predmetni projekt izvršeno je plaćanje troškova organizacije sastanka kriminalističke policije iz preostalih sredstava upravljačke naknade koja je MUP-u uplatila austrijska agencija AEI.</w:t>
      </w:r>
      <w:r w:rsidR="00D61084" w:rsidRPr="00921F69">
        <w:rPr>
          <w:rFonts w:ascii="Times New Roman" w:hAnsi="Times New Roman" w:cs="Times New Roman"/>
          <w:sz w:val="24"/>
          <w:szCs w:val="24"/>
        </w:rPr>
        <w:t xml:space="preserve"> </w:t>
      </w:r>
    </w:p>
    <w:p w:rsidR="00BC39BF" w:rsidRPr="00921F69" w:rsidRDefault="00BC39BF" w:rsidP="00BC39BF">
      <w:pPr>
        <w:spacing w:line="360" w:lineRule="auto"/>
        <w:ind w:firstLine="708"/>
        <w:jc w:val="both"/>
        <w:rPr>
          <w:rFonts w:ascii="Times New Roman" w:hAnsi="Times New Roman" w:cs="Times New Roman"/>
          <w:sz w:val="24"/>
          <w:szCs w:val="24"/>
        </w:rPr>
      </w:pPr>
    </w:p>
    <w:p w:rsidR="009E50E6" w:rsidRPr="00921F69" w:rsidRDefault="009E50E6" w:rsidP="00A441EA">
      <w:pPr>
        <w:jc w:val="both"/>
        <w:rPr>
          <w:rFonts w:ascii="Times New Roman" w:hAnsi="Times New Roman" w:cs="Times New Roman"/>
          <w:b/>
          <w:sz w:val="24"/>
          <w:szCs w:val="24"/>
        </w:rPr>
      </w:pPr>
      <w:r w:rsidRPr="00921F69">
        <w:rPr>
          <w:rFonts w:ascii="Times New Roman" w:hAnsi="Times New Roman" w:cs="Times New Roman"/>
          <w:b/>
          <w:sz w:val="24"/>
          <w:szCs w:val="24"/>
        </w:rPr>
        <w:t>POMOĆI EU – IZVOR 51</w:t>
      </w:r>
      <w:r w:rsidR="005E6685" w:rsidRPr="00921F69">
        <w:rPr>
          <w:rFonts w:ascii="Times New Roman" w:hAnsi="Times New Roman" w:cs="Times New Roman"/>
          <w:b/>
          <w:sz w:val="24"/>
          <w:szCs w:val="24"/>
        </w:rPr>
        <w:t xml:space="preserve"> </w:t>
      </w:r>
    </w:p>
    <w:p w:rsidR="00E43114" w:rsidRPr="00921F69" w:rsidRDefault="00E43114" w:rsidP="00A441EA">
      <w:pPr>
        <w:jc w:val="both"/>
        <w:rPr>
          <w:rFonts w:ascii="Times New Roman" w:hAnsi="Times New Roman" w:cs="Times New Roman"/>
          <w:b/>
          <w:sz w:val="24"/>
          <w:szCs w:val="24"/>
        </w:rPr>
      </w:pPr>
    </w:p>
    <w:p w:rsidR="00F80E3C" w:rsidRPr="00921F69" w:rsidRDefault="00F80E3C" w:rsidP="00F80E3C">
      <w:pPr>
        <w:rPr>
          <w:rFonts w:ascii="Times New Roman" w:hAnsi="Times New Roman" w:cs="Times New Roman"/>
          <w:b/>
          <w:sz w:val="24"/>
          <w:szCs w:val="24"/>
        </w:rPr>
      </w:pPr>
      <w:r w:rsidRPr="00921F69">
        <w:rPr>
          <w:rFonts w:ascii="Times New Roman" w:hAnsi="Times New Roman" w:cs="Times New Roman"/>
          <w:b/>
          <w:sz w:val="24"/>
          <w:szCs w:val="24"/>
        </w:rPr>
        <w:t>A553131 ADMINISTRACIJA I UPRAVLJANJE</w:t>
      </w:r>
    </w:p>
    <w:p w:rsidR="001C48BC" w:rsidRPr="00921F69" w:rsidRDefault="0055678E" w:rsidP="0055678E">
      <w:pPr>
        <w:spacing w:line="360" w:lineRule="auto"/>
        <w:ind w:firstLine="708"/>
        <w:jc w:val="both"/>
        <w:rPr>
          <w:rFonts w:ascii="Times New Roman" w:hAnsi="Times New Roman" w:cs="Times New Roman"/>
          <w:sz w:val="24"/>
          <w:szCs w:val="24"/>
        </w:rPr>
      </w:pPr>
      <w:r w:rsidRPr="00921F69">
        <w:rPr>
          <w:rFonts w:ascii="Times New Roman" w:hAnsi="Times New Roman" w:cs="Times New Roman"/>
          <w:sz w:val="24"/>
          <w:szCs w:val="24"/>
        </w:rPr>
        <w:t>Na izvoru financiranja 51 Pomoći EU unutar ove aktivnosti evidentirani su troškovi sudjelovanja naših djelatnika na sastancima u radnim skupinama u Europskoj komisiji, Vijeću EU i Europskom vijeću. Također, evidentirani su troškovi radnih sati djelatnika MUP-a kao i ostale naknade troškova zaposlenih, troškovi per-diema i smještaja vanjskim suradnicima, troškovi licenci i nabave tehničke opreme iz EU projekata koji su financirani iz sredstava EUROPOL-a. Preknjiženi su troškovi plaće za osam mjeseci za djelatnicu MUP-a od strane CIVIPOL-a u okviru projekta IPA III/20237442-774. Evidentirani su troškovi smještaja i prehrane stranih delegacija iz sredstava CEPOL-a.</w:t>
      </w:r>
    </w:p>
    <w:p w:rsidR="009E50E6" w:rsidRPr="00921F69" w:rsidRDefault="009E50E6" w:rsidP="00A441EA">
      <w:pPr>
        <w:jc w:val="both"/>
        <w:rPr>
          <w:rFonts w:ascii="Times New Roman" w:hAnsi="Times New Roman" w:cs="Times New Roman"/>
          <w:b/>
          <w:sz w:val="24"/>
          <w:szCs w:val="24"/>
        </w:rPr>
      </w:pPr>
      <w:r w:rsidRPr="00921F69">
        <w:rPr>
          <w:rFonts w:ascii="Times New Roman" w:hAnsi="Times New Roman" w:cs="Times New Roman"/>
          <w:b/>
          <w:sz w:val="24"/>
          <w:szCs w:val="24"/>
        </w:rPr>
        <w:t>A553158 FRONTEX-JAČANJE KOORDINACIJE I OPERATIVNE SURADNJE IZMEĐU DRŽAVA ČLANICA EU NA PODRUČJU UPRAVLJANJA VANJSKIM GRANICAMA</w:t>
      </w:r>
    </w:p>
    <w:p w:rsidR="00E82CB1" w:rsidRPr="00921F69" w:rsidRDefault="00F570B4" w:rsidP="00F570B4">
      <w:pPr>
        <w:spacing w:line="360" w:lineRule="auto"/>
        <w:ind w:firstLine="708"/>
        <w:jc w:val="both"/>
        <w:rPr>
          <w:rFonts w:ascii="Times New Roman" w:hAnsi="Times New Roman" w:cs="Times New Roman"/>
          <w:sz w:val="24"/>
          <w:szCs w:val="24"/>
        </w:rPr>
      </w:pPr>
      <w:r w:rsidRPr="00921F69">
        <w:rPr>
          <w:rFonts w:ascii="Times New Roman" w:hAnsi="Times New Roman" w:cs="Times New Roman"/>
          <w:sz w:val="24"/>
          <w:szCs w:val="24"/>
        </w:rPr>
        <w:t xml:space="preserve">Projekt je uspostavljen krajem studenog 2015.g. radi lakšeg praćenja refundacije troškova MUP-a od strane Agencije za europsku graničnu i obalnu stražu (FRONTEX), a ostvarenih sudjelovanjem u međunarodnim aktivnostima granične policije. Općenita zadaća FRONTEX-a je jačanje koordinacije i operativne suradnje između država članica EU-a na području upravljanja vanjskim granicama, kao i jačanje slobode, sigurnosti i pravednosti u </w:t>
      </w:r>
      <w:r w:rsidRPr="00921F69">
        <w:rPr>
          <w:rFonts w:ascii="Times New Roman" w:hAnsi="Times New Roman" w:cs="Times New Roman"/>
          <w:sz w:val="24"/>
          <w:szCs w:val="24"/>
        </w:rPr>
        <w:lastRenderedPageBreak/>
        <w:t xml:space="preserve">Europskoj Uniji. Modaliteti suradnje FRONTEX-a i MUP-a RH definirani su potpisanim „Okvirnim sporazumom o partnerstvu“ između Ministarstva unutarnjih poslova Republike Hrvatske i Europske agencije za upravljanje operativnom suradnjom na vanjskim granicama država članica Europske unije“ 16. prosinca 2013. godine te Partnerskim ugovorom o suradnji Policijske akademije i FRONTEX-a potpisanim 06. veljače 2017.godine. </w:t>
      </w:r>
    </w:p>
    <w:p w:rsidR="002F0D38" w:rsidRPr="00921F69" w:rsidRDefault="00F570B4" w:rsidP="009B7304">
      <w:pPr>
        <w:spacing w:line="360" w:lineRule="auto"/>
        <w:ind w:firstLine="708"/>
        <w:jc w:val="both"/>
        <w:rPr>
          <w:rFonts w:ascii="Times New Roman" w:hAnsi="Times New Roman" w:cs="Times New Roman"/>
          <w:sz w:val="24"/>
          <w:szCs w:val="24"/>
        </w:rPr>
      </w:pPr>
      <w:r w:rsidRPr="00921F69">
        <w:rPr>
          <w:rFonts w:ascii="Times New Roman" w:hAnsi="Times New Roman" w:cs="Times New Roman"/>
          <w:sz w:val="24"/>
          <w:szCs w:val="24"/>
        </w:rPr>
        <w:t xml:space="preserve">U 2024.g. troškovi u iznosu od 2.614.272 EUR refundirani su od strane FRONTEX-a. Najznačajnije zajedničke operacije provedene tijekom 2024.g. su: MULTIPURPOSE OPERATIONAL ACTIVITIES – 2024. (HR &amp; LIGHT TE, 2024/67/DMD) - tijekom 2024. godine policijski službenici granične policije RH sudjelovali su u 10 operativnih aktivnosti u organizaciji Agencije za europsku graničnu i obalnu stražu, s ciljem provedbe zadaća zaštite vanjske granice Europske unije. Zajedničke operacije provodile su se u rotacijskim periodima počevši od 24.01.2024. do 30.12.2024. godine te su se nastavile do 22.1.2025. godine. Trošak ove zajedničke operacije iznosi ukupno 694.745,75 EUR, od čega je do kraja 2024.g. FRONTEX ukupno refundirao iznos od 686.505,60 EUR kroz pred-financiranje. U nastavku je dan pregled država i vremenskog razdoblja u kojima su policijski službenici upućeni na operativne akcije te financijski iznosi: JO Romania 2024., 21.02.-30.10.2024., iznos od 26.284,31 EUR, JO Terra 2024, Slovačka, 24.01.-10.07.2024., iznos od 46.452,85 EUR, JO Bulgaria 2024, 21.02.-27.11.2024., iznos od 54.822,86 EUR, JO Terra 2024, Grčka, 17.04.-30.10.2024., iznos od 49.897,03 EUR, JO Serbia 2024, 24.01.-27.11.2024., iznos od 163.349,39 EUR, JO Albania 2024.,21.02.-11.07.2024., iznos od 22.096,33 EUR, JO „Focal Points Air 2024“, Francuska, Cipar, Latvija, Italija, 21.02.-30.10.2024., iznos od 60.066,75 EUR, JO North Macedonia 2024“, Sj. Makedonija, 24.01-.27.11.2024., iznos od 269.791,75 EUR, JO Montenegro 2024“, Crna Gora, 21.02.-20.03.2024., iznos od 10.986,62 EUR, JO PRA FOA Return 2024“, Slovačka, Secovce, 24.01.-10.07.2024., iznos od 46.452,85 EUR. FIELDS GA 2023/462/CED - U svrhu unaprjeđenja rada i poboljšanja sposobnosti granične policije za detekciju krivotvorenih dokumenata na vanjskim granicama, u suradnji s Agencijom za europsku graničnu i obalnu stražu (FRONTEX), implementiran je „Frontex - Interpol Electronic Library Document System - FIELDS" u Nacionalni Informacijski sustav za upravljanje državnom granicom (NISUDG). Na taj način poboljšat će se kapaciteti granične policije za otkrivanjem krivotvorenih dokumenata na vanjskim granicama. Predmetni projekt nadogradnje Nacionalnog Informacijskog sustava za upravljanje državnom granicom sufinanciran je od strane FRONTEX-a u ukupnom iznosu od 122.787,51 EUR, što čini 90% troškova koje pokriva FRONTEX kroz direktnu dodjelu nepovratnih sredstava sukladno potpisanom Sporazumu o dodjeli nepovratnih sredstava Republici Hrvatskoj. Cjelokupni iznos </w:t>
      </w:r>
      <w:r w:rsidRPr="00921F69">
        <w:rPr>
          <w:rFonts w:ascii="Times New Roman" w:hAnsi="Times New Roman" w:cs="Times New Roman"/>
          <w:sz w:val="24"/>
          <w:szCs w:val="24"/>
        </w:rPr>
        <w:lastRenderedPageBreak/>
        <w:t>od 122.787,51 EUR uplaćen je u 2024.g. MMO ADRIA 2024. (2024/313/CGS) - provedena je u razdoblju od 12. rujna do 09. listopada 2024. godine, na području unutarnjih morskih voda i teritorijalnog mora Republike Hrvatske, na pomorskom području policijskih uprava šibensko-kninske, splitsko-dalmatinske, dubrovačko-neretvanske s ciljem suzbijanja nezakonitih migracija i svih oblika prekograničnog kriminaliteta. Unutar MMO Adria 2024 uspostavljene su sljedeće operativne strukture: MMO koordinacijski centar (MCC) sa sjedištem u EFCA HQ, Vigo, Španjolska, Međunarodni koordinacijski centar (ICC) sa sjedištem u Frontexu, Varšava Poljska, Lokalni koordinacijski centar (LCC) sa sjedištem u Nacionalnom pomorskom centru (NPC) u Zadru, FRONTEX je rasporedio jednog službenika europske obalne straže (ECGFO) u LCC Zadar sa zadaćom pružanje podrške u provedbi operacije. Tijekom MMO Adria 2024 angažirana su tri plovila pomorske policije, po jedno plovila iz svake policijske uprave, korišteno je i jedno pričuvno plovilo. Tijekom MMO Adria 2024 nisu otkriveni nezakoniti migranti niti su identificirani slučajevi prekograničnog kriminaliteta. Evidentirano je 12 (13) incidenata (u jednom SAR incidentu je evidentiran i nezakoniti ribolov). Provedeno je 69 ophodnji a 12 je otkazano, uglavnom zbog loših vremenskih uvjeta.</w:t>
      </w:r>
    </w:p>
    <w:p w:rsidR="00B067C8" w:rsidRPr="00921F69" w:rsidRDefault="00B067C8" w:rsidP="00B067C8">
      <w:pPr>
        <w:jc w:val="both"/>
        <w:rPr>
          <w:rFonts w:ascii="Times New Roman" w:hAnsi="Times New Roman" w:cs="Times New Roman"/>
          <w:b/>
          <w:sz w:val="24"/>
          <w:szCs w:val="24"/>
        </w:rPr>
      </w:pPr>
      <w:r w:rsidRPr="00921F69">
        <w:rPr>
          <w:rFonts w:ascii="Times New Roman" w:hAnsi="Times New Roman" w:cs="Times New Roman"/>
          <w:b/>
          <w:sz w:val="24"/>
          <w:szCs w:val="24"/>
        </w:rPr>
        <w:t>K553125 POTPORE RADU I OPREMANJU POLICIJE</w:t>
      </w:r>
    </w:p>
    <w:p w:rsidR="003E5B48" w:rsidRPr="00921F69" w:rsidRDefault="00777210" w:rsidP="009B7304">
      <w:pPr>
        <w:spacing w:line="360" w:lineRule="auto"/>
        <w:ind w:firstLine="708"/>
        <w:jc w:val="both"/>
        <w:rPr>
          <w:rFonts w:ascii="Times New Roman" w:hAnsi="Times New Roman" w:cs="Times New Roman"/>
          <w:sz w:val="24"/>
          <w:szCs w:val="24"/>
        </w:rPr>
      </w:pPr>
      <w:r w:rsidRPr="00921F69">
        <w:rPr>
          <w:rFonts w:ascii="Times New Roman" w:hAnsi="Times New Roman" w:cs="Times New Roman"/>
          <w:sz w:val="24"/>
          <w:szCs w:val="24"/>
        </w:rPr>
        <w:t xml:space="preserve">Projekt je </w:t>
      </w:r>
      <w:r w:rsidR="00255FFF" w:rsidRPr="00921F69">
        <w:rPr>
          <w:rFonts w:ascii="Times New Roman" w:hAnsi="Times New Roman" w:cs="Times New Roman"/>
          <w:sz w:val="24"/>
          <w:szCs w:val="24"/>
        </w:rPr>
        <w:t>planiran na izvoru 51 Pomoći EU u  iznosu od 25.000 EUR, dok su sredstva utrošena u iznosu od 11.388 EUR.</w:t>
      </w:r>
      <w:r w:rsidR="001643C0" w:rsidRPr="00921F69">
        <w:rPr>
          <w:rFonts w:ascii="Times New Roman" w:hAnsi="Times New Roman" w:cs="Times New Roman"/>
          <w:sz w:val="24"/>
          <w:szCs w:val="24"/>
        </w:rPr>
        <w:t xml:space="preserve"> S</w:t>
      </w:r>
      <w:r w:rsidR="00D94B3F" w:rsidRPr="00921F69">
        <w:rPr>
          <w:rFonts w:ascii="Times New Roman" w:hAnsi="Times New Roman" w:cs="Times New Roman"/>
          <w:sz w:val="24"/>
          <w:szCs w:val="24"/>
        </w:rPr>
        <w:t xml:space="preserve">redstva </w:t>
      </w:r>
      <w:r w:rsidR="001643C0" w:rsidRPr="00921F69">
        <w:rPr>
          <w:rFonts w:ascii="Times New Roman" w:hAnsi="Times New Roman" w:cs="Times New Roman"/>
          <w:sz w:val="24"/>
          <w:szCs w:val="24"/>
        </w:rPr>
        <w:t xml:space="preserve">su </w:t>
      </w:r>
      <w:r w:rsidR="00D94B3F" w:rsidRPr="00921F69">
        <w:rPr>
          <w:rFonts w:ascii="Times New Roman" w:hAnsi="Times New Roman" w:cs="Times New Roman"/>
          <w:sz w:val="24"/>
          <w:szCs w:val="24"/>
        </w:rPr>
        <w:t xml:space="preserve">utrošena za potrebe provođenja projekata ERASMUS+ projekta HIBRIDC "Cooperation for developing joint curriculum on tatackling hybrid threats - Suradnja na razvoju zajedničkog kurikuluma o borbi protiv hibridnih prijetnji - HYBRIDC". U okviru predmetnog projekta je sklopljen Sporazum između Education and Youth Bord, Agency of the Executive or other state institution, Tallin, Estonija kao nacionalne agencije, The Estonian Academy of Security Sciences, insitution administered by the Estonian Ministry of the Interior kao koordinatora i Ministarstva unutarnjih poslova. Projekt je započeo 01.09.2022. i traje do 31.08.2025. godine. Ukupan proračun projekta iznosi 400.000 EUR, od čega se na MUP odnosi 120.000 EUR. Navedeni iznos se uplaćuje sukcesivno za vrijeme trajanja projekta direktno od nositelja projekta. Prema predmetnom sporazumu Agency of the Executive or other state institution, Tallin je 12.10.2022. godine MUP-u uplatila 47.340 EUR. Ta sredstva se vode na Izvoru 51 Pomoći EU. U 2024. godini na teret sredstava programa ERASMUS+ HYBRIDC preknjiženi su troškovi radnih sati za pet djelatnika MUP-a koji rade na predmetnom projektu, troškovi dnevnica za putovanje u inozemstvo, troškovi smještaja, troškovi putovanja, promidžbeni materijali premije osiguranja policijskih službenika koji rade na predmetnom projektu. </w:t>
      </w:r>
    </w:p>
    <w:p w:rsidR="00212257" w:rsidRPr="00921F69" w:rsidRDefault="00D56A9B" w:rsidP="00212257">
      <w:pPr>
        <w:jc w:val="both"/>
        <w:rPr>
          <w:rFonts w:ascii="Times New Roman" w:hAnsi="Times New Roman" w:cs="Times New Roman"/>
          <w:b/>
          <w:sz w:val="24"/>
          <w:szCs w:val="24"/>
        </w:rPr>
      </w:pPr>
      <w:r w:rsidRPr="00921F69">
        <w:rPr>
          <w:rFonts w:ascii="Times New Roman" w:hAnsi="Times New Roman" w:cs="Times New Roman"/>
          <w:b/>
          <w:sz w:val="24"/>
          <w:szCs w:val="24"/>
        </w:rPr>
        <w:lastRenderedPageBreak/>
        <w:t>T553157 HORIZON 2020 JAČANJE SURADNJE IZMEĐU POLICIJSKIH SLUŽBI I GRAĐANA – POLICIJA U ZAJEDNICI</w:t>
      </w:r>
    </w:p>
    <w:p w:rsidR="001F572E" w:rsidRPr="00921F69" w:rsidRDefault="00C96CB5" w:rsidP="00C96CB5">
      <w:pPr>
        <w:spacing w:line="360" w:lineRule="auto"/>
        <w:ind w:firstLine="708"/>
        <w:jc w:val="both"/>
        <w:rPr>
          <w:rFonts w:ascii="Times New Roman" w:hAnsi="Times New Roman" w:cs="Times New Roman"/>
          <w:sz w:val="24"/>
          <w:szCs w:val="24"/>
        </w:rPr>
      </w:pPr>
      <w:r w:rsidRPr="00921F69">
        <w:rPr>
          <w:rFonts w:ascii="Times New Roman" w:hAnsi="Times New Roman" w:cs="Times New Roman"/>
          <w:sz w:val="24"/>
          <w:szCs w:val="24"/>
        </w:rPr>
        <w:t xml:space="preserve">Policijska akademija kao sastavni dio Ministarstva unutarnjih poslova je nominirala i dobila priliku sudjelovati u projektu „Jačanje suradnje između policijskih službenika i građana –Policija u zajednici„, a u sklopu Programa EU za istraživanje za razdoblje od 2014. do 2020.g. pod nazivom HORIZON 2020. Ugovor o bespovratnim sredstvima načelnik Policijske akademije je potpisao 27.05.2015. godine. Koordinator projekta je Police and Crime Commissioner for West Yorkshire, a Policijska akademija je dio konzorcija. Vrijednost projekta prvotno je iznosila 60.000 EUR (EU-sredstva), da bi potom bila povećana na 79.210,83 EUR. Prva uplata je bila 15. rujna 2015.g. kad je uplaćeno 27.000 EUR, druga 08.12.2016. u iznosu od 22.426,56 EUR i treća uplata 11.03.2019. u iznosu od 29.784,27 EUR. </w:t>
      </w:r>
    </w:p>
    <w:p w:rsidR="003266A8" w:rsidRPr="00921F69" w:rsidRDefault="00C96CB5" w:rsidP="009B7304">
      <w:pPr>
        <w:spacing w:line="360" w:lineRule="auto"/>
        <w:ind w:firstLine="708"/>
        <w:jc w:val="both"/>
        <w:rPr>
          <w:rFonts w:ascii="Times New Roman" w:hAnsi="Times New Roman" w:cs="Times New Roman"/>
          <w:sz w:val="24"/>
          <w:szCs w:val="24"/>
        </w:rPr>
      </w:pPr>
      <w:r w:rsidRPr="00921F69">
        <w:rPr>
          <w:rFonts w:ascii="Times New Roman" w:hAnsi="Times New Roman" w:cs="Times New Roman"/>
          <w:sz w:val="24"/>
          <w:szCs w:val="24"/>
        </w:rPr>
        <w:t>Sredstva su planirana u iznosu od 2.000 EUR na Izvoru 51 Pomoći EU za službena putovanja, od čega nije ništa utrošeno. Za trošenje indirektnih troškova odgovoran je voditelj projekta.</w:t>
      </w:r>
    </w:p>
    <w:p w:rsidR="00B74C0C" w:rsidRPr="00921F69" w:rsidRDefault="00B74C0C" w:rsidP="00B74C0C">
      <w:pPr>
        <w:jc w:val="both"/>
        <w:rPr>
          <w:rFonts w:ascii="Times New Roman" w:hAnsi="Times New Roman" w:cs="Times New Roman"/>
          <w:b/>
          <w:sz w:val="24"/>
          <w:szCs w:val="24"/>
        </w:rPr>
      </w:pPr>
      <w:r w:rsidRPr="00921F69">
        <w:rPr>
          <w:rFonts w:ascii="Times New Roman" w:hAnsi="Times New Roman" w:cs="Times New Roman"/>
          <w:b/>
          <w:sz w:val="24"/>
          <w:szCs w:val="24"/>
        </w:rPr>
        <w:t>T553174 OBZOR 2020</w:t>
      </w:r>
    </w:p>
    <w:p w:rsidR="009C31F9" w:rsidRPr="00921F69" w:rsidRDefault="00B24C68" w:rsidP="00B24C68">
      <w:pPr>
        <w:spacing w:line="360" w:lineRule="auto"/>
        <w:ind w:firstLine="708"/>
        <w:jc w:val="both"/>
        <w:rPr>
          <w:rFonts w:ascii="Times New Roman" w:hAnsi="Times New Roman" w:cs="Times New Roman"/>
          <w:sz w:val="24"/>
          <w:szCs w:val="24"/>
        </w:rPr>
      </w:pPr>
      <w:r w:rsidRPr="00921F69">
        <w:rPr>
          <w:rFonts w:ascii="Times New Roman" w:hAnsi="Times New Roman" w:cs="Times New Roman"/>
          <w:sz w:val="24"/>
          <w:szCs w:val="24"/>
        </w:rPr>
        <w:t xml:space="preserve">Ministarstvo unutarnjih poslova provodi projekte u sklopu Programa Europske unije za istraživanje i razvoj za razdoblje od 2014. do 2020. godine pod nazivom Za projekte tipa OBZOR 2020 nema sufinanciranja. </w:t>
      </w:r>
    </w:p>
    <w:p w:rsidR="009C31F9" w:rsidRPr="00921F69" w:rsidRDefault="00B24C68" w:rsidP="00B24C68">
      <w:pPr>
        <w:spacing w:line="360" w:lineRule="auto"/>
        <w:ind w:firstLine="708"/>
        <w:jc w:val="both"/>
        <w:rPr>
          <w:rFonts w:ascii="Times New Roman" w:hAnsi="Times New Roman" w:cs="Times New Roman"/>
          <w:sz w:val="24"/>
          <w:szCs w:val="24"/>
        </w:rPr>
      </w:pPr>
      <w:r w:rsidRPr="00921F69">
        <w:rPr>
          <w:rFonts w:ascii="Times New Roman" w:hAnsi="Times New Roman" w:cs="Times New Roman"/>
          <w:sz w:val="24"/>
          <w:szCs w:val="24"/>
        </w:rPr>
        <w:t xml:space="preserve">Kroz navedeni projekt pratili smo provođenje projekta ENTRANCE-EfficieNT Risk-bAsed iNspection of freight Crossing bordErs without dirupting business) - učinkovita inspekcija prekograničnog tereta bez ometanja poslovanja utemeljena na evaluaciji rizika. Navedeni projekt je počeo 01. listopada 2020. godine, a završio je 01. listopada 2024. godine. Proračun projekta je iznosio 176.625 EUR. Iz sredstava projekta ukupno smo utrošili 153.429 EUR za doznaku sredstava Institutu Ruđer Bošković. </w:t>
      </w:r>
    </w:p>
    <w:p w:rsidR="009C31F9" w:rsidRPr="00921F69" w:rsidRDefault="00B24C68" w:rsidP="00B24C68">
      <w:pPr>
        <w:spacing w:line="360" w:lineRule="auto"/>
        <w:ind w:firstLine="708"/>
        <w:jc w:val="both"/>
        <w:rPr>
          <w:rFonts w:ascii="Times New Roman" w:hAnsi="Times New Roman" w:cs="Times New Roman"/>
          <w:sz w:val="24"/>
          <w:szCs w:val="24"/>
        </w:rPr>
      </w:pPr>
      <w:r w:rsidRPr="00921F69">
        <w:rPr>
          <w:rFonts w:ascii="Times New Roman" w:hAnsi="Times New Roman" w:cs="Times New Roman"/>
          <w:sz w:val="24"/>
          <w:szCs w:val="24"/>
        </w:rPr>
        <w:t xml:space="preserve">U okviru predmetnog projekta provodimo i projekt CYCLOPES. Proračun projekta iznosi 68.937,50 EUR-a i traje 60 mjeseci. Iz sredstava projekta utrošili smo 5.096 EUR za preknjiženje troškova radnih sati djelatnika koji su radili na predmetnom projektu, 6.451 EUR za troškove službenih putovanja (inozemne dnevnice, troškovi smještaja u inozemstvu i troškovi prijevoza) djelatnika MUP-a koji su putovali na sastanke u okviru predmetnog projekta. </w:t>
      </w:r>
    </w:p>
    <w:p w:rsidR="000B2C7E" w:rsidRPr="00921F69" w:rsidRDefault="00B24C68" w:rsidP="00B24C68">
      <w:pPr>
        <w:spacing w:line="360" w:lineRule="auto"/>
        <w:ind w:firstLine="708"/>
        <w:jc w:val="both"/>
        <w:rPr>
          <w:rFonts w:ascii="Times New Roman" w:hAnsi="Times New Roman" w:cs="Times New Roman"/>
          <w:sz w:val="24"/>
          <w:szCs w:val="24"/>
        </w:rPr>
      </w:pPr>
      <w:r w:rsidRPr="00921F69">
        <w:rPr>
          <w:rFonts w:ascii="Times New Roman" w:hAnsi="Times New Roman" w:cs="Times New Roman"/>
          <w:sz w:val="24"/>
          <w:szCs w:val="24"/>
        </w:rPr>
        <w:t xml:space="preserve">Kroz predmetni projekt pratimo i izvršenje projekta INHERIT. Proračun projekta iznosi 63.125 EUR i traje 36 mjeseci. Iz sredstava projekta utrošili smo 1.560 EUR za troškove </w:t>
      </w:r>
      <w:r w:rsidRPr="00921F69">
        <w:rPr>
          <w:rFonts w:ascii="Times New Roman" w:hAnsi="Times New Roman" w:cs="Times New Roman"/>
          <w:sz w:val="24"/>
          <w:szCs w:val="24"/>
        </w:rPr>
        <w:lastRenderedPageBreak/>
        <w:t xml:space="preserve">službenih putovanja u inozemstvo (troškovi avio-karata) djelatnika MUP-a koji su putovali na sastanke u okviru predmetnog projekta. </w:t>
      </w:r>
    </w:p>
    <w:p w:rsidR="00117F91" w:rsidRPr="00921F69" w:rsidRDefault="00B24C68" w:rsidP="009B7304">
      <w:pPr>
        <w:spacing w:line="360" w:lineRule="auto"/>
        <w:ind w:firstLine="708"/>
        <w:jc w:val="both"/>
        <w:rPr>
          <w:rFonts w:ascii="Times New Roman" w:hAnsi="Times New Roman" w:cs="Times New Roman"/>
          <w:sz w:val="24"/>
          <w:szCs w:val="24"/>
        </w:rPr>
      </w:pPr>
      <w:r w:rsidRPr="00921F69">
        <w:rPr>
          <w:rFonts w:ascii="Times New Roman" w:hAnsi="Times New Roman" w:cs="Times New Roman"/>
          <w:sz w:val="24"/>
          <w:szCs w:val="24"/>
        </w:rPr>
        <w:t>Kroz predmetni projekt pratimo i izvršenje projekta CRITERIA. Proračun projekta iznosi 67.500 EUR. Projekt je počeo 1. rujna 2021. i završio je 1. rujna 2024. godine. Iz sredstava projekta u 2024. godini utrošili smo 9.217 EUR za preknjiženje troškova radnih sati djelatnika koji su radili na predmetnom projektu, 2.119 EUR za troškove službenih putovanja u inozemstvo (troškovi avio-karata) djelatnika MUP-a koji su putovali na sastanke u okviru predmetnog projekta.</w:t>
      </w:r>
    </w:p>
    <w:p w:rsidR="00B479BB" w:rsidRPr="00921F69" w:rsidRDefault="00B479BB" w:rsidP="000B2C7E">
      <w:pPr>
        <w:spacing w:line="360" w:lineRule="auto"/>
        <w:ind w:firstLine="708"/>
        <w:rPr>
          <w:rFonts w:ascii="Times New Roman" w:hAnsi="Times New Roman" w:cs="Times New Roman"/>
          <w:b/>
          <w:sz w:val="24"/>
          <w:szCs w:val="24"/>
        </w:rPr>
      </w:pPr>
      <w:r w:rsidRPr="00921F69">
        <w:rPr>
          <w:rFonts w:ascii="Times New Roman" w:hAnsi="Times New Roman" w:cs="Times New Roman"/>
          <w:b/>
          <w:sz w:val="24"/>
          <w:szCs w:val="24"/>
        </w:rPr>
        <w:t>T863009 PROJEKTI CIVILNE ZAŠTITE</w:t>
      </w:r>
    </w:p>
    <w:p w:rsidR="00BA0EB0" w:rsidRPr="00921F69" w:rsidRDefault="0015501E" w:rsidP="0015501E">
      <w:pPr>
        <w:spacing w:line="360" w:lineRule="auto"/>
        <w:ind w:firstLine="708"/>
        <w:jc w:val="both"/>
        <w:rPr>
          <w:rFonts w:ascii="Times New Roman" w:hAnsi="Times New Roman" w:cs="Times New Roman"/>
          <w:sz w:val="24"/>
          <w:szCs w:val="24"/>
        </w:rPr>
      </w:pPr>
      <w:r w:rsidRPr="00921F69">
        <w:rPr>
          <w:rFonts w:ascii="Times New Roman" w:hAnsi="Times New Roman" w:cs="Times New Roman"/>
          <w:sz w:val="24"/>
          <w:szCs w:val="24"/>
        </w:rPr>
        <w:t>Ukupan plan projekta u 2024. godini iznosio je 254.000 EUR od čega 224.000 EUR iz izvora 51 i 30.000 EUR iz izvora 12. Realizirano je 178.461,39 EUR od čega je 165.856 EUR izvršeno iz izvora 51 te 12.605 EUR iz izvora 12. Projekt se sastoji od tri podprojekta: See Me 2, Modex i Ipa Care. Podprojekt "SEE ME 2" koji je započeo 01.01.2024. g., nastavak je projekta "SEE ME" te je kroz projekt tijekom 2024.g. izrađen program osposobljavanja djelatnika centra 112 za učinkovitije komuniciranje s osobama s invaliditetom te program osposobljavanja pripadnika žurnih službi za postupanje s osobama s invaliditetom u hitnim situacijama. Podprojekt LOT-EU MODEX - "Osmišljavanje, planiranje, provođenje i samoocjenjivanje vježbi za module civilne zaštite, ostale kapacitete za odgovor registrirane u zajedničkom komunikacijskom i informacijskom sustavu za hitne situacije (CECIS), timove tehničke pomoći (TAST) i timove civilne zaštite Europske unije (EUCPT) za razmještanje u misijama u sklopu mehanizma unije za civilnu zaštitu" provodi se uz sudjelovanje civilne zaštite Republike Hrvatske od 2013.g. U listopadu 2024. godine započelo je provođenje vježbi 12. ciklusa ovog projekta kojem je prema ugovoru razdoblje provedbe od 30.11.2023.-29.11.2026. godine. Planirani scenariji vježbi u sklopu MODEX-a su poplava, potres, šumski požar i kemijski incident. Podprojekt IPA CARE ima proračun od 12.800.000 eura i provodi ga konzorcij na čelu s Švedskom agencijom za civilnu zaštitu.</w:t>
      </w:r>
    </w:p>
    <w:p w:rsidR="003C08F2" w:rsidRPr="00921F69" w:rsidRDefault="003C08F2" w:rsidP="003C08F2">
      <w:pPr>
        <w:jc w:val="both"/>
        <w:rPr>
          <w:rFonts w:ascii="Times New Roman" w:hAnsi="Times New Roman" w:cs="Times New Roman"/>
          <w:b/>
          <w:sz w:val="24"/>
          <w:szCs w:val="24"/>
        </w:rPr>
      </w:pPr>
      <w:r w:rsidRPr="00921F69">
        <w:rPr>
          <w:rFonts w:ascii="Times New Roman" w:hAnsi="Times New Roman" w:cs="Times New Roman"/>
          <w:b/>
          <w:sz w:val="24"/>
          <w:szCs w:val="24"/>
        </w:rPr>
        <w:t>T863029 IZRADA NACRTA PLANA PODIZANJA SVIJESTI I SUSTAVA ZA PRIKUPLJANJE PODATAKA O GUBITCIMA I ŠTETAMA OD KATASTROFA – DREW DATA</w:t>
      </w:r>
    </w:p>
    <w:p w:rsidR="00710FC6" w:rsidRPr="00921F69" w:rsidRDefault="00710FC6" w:rsidP="00710FC6">
      <w:pPr>
        <w:spacing w:line="360" w:lineRule="auto"/>
        <w:ind w:firstLine="708"/>
        <w:jc w:val="both"/>
        <w:rPr>
          <w:rFonts w:ascii="Times New Roman" w:hAnsi="Times New Roman" w:cs="Times New Roman"/>
          <w:sz w:val="24"/>
          <w:szCs w:val="24"/>
        </w:rPr>
      </w:pPr>
      <w:r w:rsidRPr="00921F69">
        <w:rPr>
          <w:rFonts w:ascii="Times New Roman" w:hAnsi="Times New Roman" w:cs="Times New Roman"/>
          <w:sz w:val="24"/>
          <w:szCs w:val="24"/>
        </w:rPr>
        <w:t xml:space="preserve">U 2024. godini planirano je za projekt  393.000 EUR, od čega je planirano 51.000 EUR iz izvora 12, a 342.000 EUR iz izvora 51. Realizirano je 29.104  EUR od čega je 2.596  EUR izvršeno iz izvora 12 te 26.508 EUR iz izvora 51. Navedeni troškovi se odnose na plaće za </w:t>
      </w:r>
      <w:r w:rsidRPr="00921F69">
        <w:rPr>
          <w:rFonts w:ascii="Times New Roman" w:hAnsi="Times New Roman" w:cs="Times New Roman"/>
          <w:sz w:val="24"/>
          <w:szCs w:val="24"/>
        </w:rPr>
        <w:lastRenderedPageBreak/>
        <w:t>redovan rad, službena putovanja, usluge promidžbe i informiranja, uredski materijal, intelektualne, osobne te ostale usluge.</w:t>
      </w:r>
    </w:p>
    <w:p w:rsidR="003C08F2" w:rsidRPr="00921F69" w:rsidRDefault="00710FC6" w:rsidP="001429C2">
      <w:pPr>
        <w:spacing w:line="360" w:lineRule="auto"/>
        <w:ind w:firstLine="708"/>
        <w:jc w:val="both"/>
        <w:rPr>
          <w:rFonts w:ascii="Times New Roman" w:hAnsi="Times New Roman" w:cs="Times New Roman"/>
          <w:sz w:val="24"/>
          <w:szCs w:val="24"/>
        </w:rPr>
      </w:pPr>
      <w:r w:rsidRPr="00921F69">
        <w:rPr>
          <w:rFonts w:ascii="Times New Roman" w:hAnsi="Times New Roman" w:cs="Times New Roman"/>
          <w:sz w:val="24"/>
          <w:szCs w:val="24"/>
        </w:rPr>
        <w:t>Sredstva za projekt osigurana su unutar UCPM-2023-TRACK1-IBA - Technical Assistance for Disaster Risk Management (“Track 1”). Cilj projekta je izrada smjernica za podizanje svijesti o smanjenju rizika od katastrofa te sustava prikupljanja podataka o štetama i procjeni gubitaka, što predstavlja temelj za izgradnju okvira za otpornu zajednicu svjesnu rizika odnosno za smanjenje rizika od katastrofa (SROK). Tijekom 2024. godine sukladno projektnom planu izrađena je  početna analiza kapaciteta u području podizanja svijesti o rizicima od katastrofa u RH te analiza postojećih baza podataka i metodologija prikupljanja podataka o štetama i gubicima. Pokrenuti  su svi planirani postupci nabava, odnosno sklopljeni su ugovori sa četiri vanjska stručnjaka na projektu; odabrana tvrtka Hendal d.o.o. koja je do kraja 2024. godine provela planirano istraživanje stanja svijesti o rizicima od katastrofa uz isporučeno izvješće o istom; organizirane su dvije radionice za baze podataka o štetama i gubicima (za nacionalnu razinu i za četiri za pilot područja); te je krajem 2024. godine pokrenut otvoreni postupak nabave u procijenjenoj vrijednosti nabave od 115.152,00 EUR čiji predmet obuhvaća usluge dizajna/grafičke pripreme/uveza/tiska dokumenata izrađenih u projektu (smjernica, metodologije i stripa), zatim usluge dizajna/prijepisa crnog tiska na brajicu/uveza/lekture/tiska materijala za slijepe i slabovidne osobe, usluge uredničke redakture i lekture metodologije i smjernica, te usluge nabave raznovrsnih promotivnih materijala.</w:t>
      </w:r>
    </w:p>
    <w:p w:rsidR="00F731E8" w:rsidRPr="00921F69" w:rsidRDefault="00014A2C" w:rsidP="00B74C0C">
      <w:pPr>
        <w:jc w:val="both"/>
        <w:rPr>
          <w:rFonts w:ascii="Times New Roman" w:hAnsi="Times New Roman" w:cs="Times New Roman"/>
          <w:b/>
          <w:sz w:val="24"/>
          <w:szCs w:val="24"/>
        </w:rPr>
      </w:pPr>
      <w:r w:rsidRPr="00921F69">
        <w:rPr>
          <w:rFonts w:ascii="Times New Roman" w:hAnsi="Times New Roman" w:cs="Times New Roman"/>
          <w:b/>
          <w:sz w:val="24"/>
          <w:szCs w:val="24"/>
        </w:rPr>
        <w:t>T879012 POMOĆ DRŽAVAMA ČLANICAMA U PRIPREMI I IMPLEMENTACIJI AKTIVNOSTI UPRAVLJANJA RIZICIMA – NO RISK BASE</w:t>
      </w:r>
    </w:p>
    <w:p w:rsidR="00051DF6" w:rsidRPr="00921F69" w:rsidRDefault="00E44E8E" w:rsidP="00E44E8E">
      <w:pPr>
        <w:spacing w:line="360" w:lineRule="auto"/>
        <w:ind w:firstLine="708"/>
        <w:jc w:val="both"/>
        <w:rPr>
          <w:rFonts w:ascii="Times New Roman" w:hAnsi="Times New Roman" w:cs="Times New Roman"/>
          <w:sz w:val="24"/>
          <w:szCs w:val="24"/>
        </w:rPr>
      </w:pPr>
      <w:r w:rsidRPr="00921F69">
        <w:rPr>
          <w:rFonts w:ascii="Times New Roman" w:hAnsi="Times New Roman" w:cs="Times New Roman"/>
          <w:sz w:val="24"/>
          <w:szCs w:val="24"/>
        </w:rPr>
        <w:t>U 2024. godini planirano je za projekt 759.000 EUR, od čega je planirano 153.000 EUR iz izvora 12, a 606.000 EUR iz izvora 51. Realizirano je 812.227 EUR od čega je 139.828 EUR izvršeno iz izvora 12 te 672.399 E</w:t>
      </w:r>
      <w:r w:rsidR="00051DF6" w:rsidRPr="00921F69">
        <w:rPr>
          <w:rFonts w:ascii="Times New Roman" w:hAnsi="Times New Roman" w:cs="Times New Roman"/>
          <w:sz w:val="24"/>
          <w:szCs w:val="24"/>
        </w:rPr>
        <w:t>UR iz izvora 51. Kroz ovaj proj</w:t>
      </w:r>
      <w:r w:rsidRPr="00921F69">
        <w:rPr>
          <w:rFonts w:ascii="Times New Roman" w:hAnsi="Times New Roman" w:cs="Times New Roman"/>
          <w:sz w:val="24"/>
          <w:szCs w:val="24"/>
        </w:rPr>
        <w:t>e</w:t>
      </w:r>
      <w:r w:rsidR="00051DF6" w:rsidRPr="00921F69">
        <w:rPr>
          <w:rFonts w:ascii="Times New Roman" w:hAnsi="Times New Roman" w:cs="Times New Roman"/>
          <w:sz w:val="24"/>
          <w:szCs w:val="24"/>
        </w:rPr>
        <w:t>k</w:t>
      </w:r>
      <w:r w:rsidRPr="00921F69">
        <w:rPr>
          <w:rFonts w:ascii="Times New Roman" w:hAnsi="Times New Roman" w:cs="Times New Roman"/>
          <w:sz w:val="24"/>
          <w:szCs w:val="24"/>
        </w:rPr>
        <w:t xml:space="preserve">t pratimo dva podprojekta: ALTER112 i TA for CP. </w:t>
      </w:r>
    </w:p>
    <w:p w:rsidR="00051DF6" w:rsidRPr="00921F69" w:rsidRDefault="00E44E8E" w:rsidP="00E44E8E">
      <w:pPr>
        <w:spacing w:line="360" w:lineRule="auto"/>
        <w:ind w:firstLine="708"/>
        <w:jc w:val="both"/>
        <w:rPr>
          <w:rFonts w:ascii="Times New Roman" w:hAnsi="Times New Roman" w:cs="Times New Roman"/>
          <w:sz w:val="24"/>
          <w:szCs w:val="24"/>
        </w:rPr>
      </w:pPr>
      <w:r w:rsidRPr="00921F69">
        <w:rPr>
          <w:rFonts w:ascii="Times New Roman" w:hAnsi="Times New Roman" w:cs="Times New Roman"/>
          <w:sz w:val="24"/>
          <w:szCs w:val="24"/>
        </w:rPr>
        <w:t xml:space="preserve">Podprojekt ALTER 112 će integrirati dva elementa koji za cilj imaju poboljšanje ljudskih i tehničkih aspekata javnog upozoravanja i kriznog komuniciranja u Republici Hrvatskoj. Prvi dio se odnosi na razvoj kompetencija operatera centara 112 na području propisa, komunikacija s osobama s invaliditetom, poznavanja psiholoških aspekata ponašanja i smanjenja stresa, korištenja novih rješenja za prijem hitnih poziva, suradnje s drugim hitnim službama, te analiza postojećih i razvijanje novih komunikacijskih procedura odnosno standardnih operativnih postupaka. Drugi dio će omogućiti olakšan pristup financiranju ulaganja u upravljanje rizicima od katastrofa kroz izradu Idejnog projekta za modernizaciju </w:t>
      </w:r>
      <w:r w:rsidRPr="00921F69">
        <w:rPr>
          <w:rFonts w:ascii="Times New Roman" w:hAnsi="Times New Roman" w:cs="Times New Roman"/>
          <w:sz w:val="24"/>
          <w:szCs w:val="24"/>
        </w:rPr>
        <w:lastRenderedPageBreak/>
        <w:t xml:space="preserve">sustava javnog uzbunjivanja i upozoravanja korištenjem sirena. Idejnim projektom će biti obuhvaćene tehničke specifikacije za nadogradnju i modernizaciju postojećih sirena te montažu novih elektroničkih sirena. Zbirno će se steći osnova za pokretanje zasebnog projekta Modernizacija sustava za uzbunjivanje u RH kojim će se doprinijeti podizanju sveukupne sposobnosti reakcije u kriznim situacijama u RH i povećanju kapaciteta nacionalnog i regionalnog sustava upravljanja kriznim situacijama. </w:t>
      </w:r>
    </w:p>
    <w:p w:rsidR="00D755FB" w:rsidRPr="00921F69" w:rsidRDefault="00E44E8E" w:rsidP="001429C2">
      <w:pPr>
        <w:spacing w:line="360" w:lineRule="auto"/>
        <w:ind w:firstLine="708"/>
        <w:jc w:val="both"/>
        <w:rPr>
          <w:rFonts w:ascii="Times New Roman" w:hAnsi="Times New Roman" w:cs="Times New Roman"/>
          <w:sz w:val="24"/>
          <w:szCs w:val="24"/>
        </w:rPr>
      </w:pPr>
      <w:r w:rsidRPr="00921F69">
        <w:rPr>
          <w:rFonts w:ascii="Times New Roman" w:hAnsi="Times New Roman" w:cs="Times New Roman"/>
          <w:sz w:val="24"/>
          <w:szCs w:val="24"/>
        </w:rPr>
        <w:t>Drugi podprojekt „Technical Assistance for the Enhancement of the Civil Protection System in Croatia - TA for CP“ je usmjeren na aktivnosti koje doprinose razvoju upravljanja rizicima od katastrofa kroz izradu strateških dokumenata, pripremu dokumentacije za projekte koji se namjeravaju prijaviti za financiranje iz EU fondova te jačanje kapaciteta djelatnika u području pripreme i provedbe EU projekata.</w:t>
      </w:r>
    </w:p>
    <w:p w:rsidR="001429C2" w:rsidRPr="00921F69" w:rsidRDefault="001429C2" w:rsidP="001429C2">
      <w:pPr>
        <w:jc w:val="both"/>
        <w:rPr>
          <w:rFonts w:ascii="Times New Roman" w:hAnsi="Times New Roman" w:cs="Times New Roman"/>
          <w:b/>
          <w:sz w:val="24"/>
          <w:szCs w:val="24"/>
        </w:rPr>
      </w:pPr>
      <w:r w:rsidRPr="00921F69">
        <w:rPr>
          <w:rFonts w:ascii="Times New Roman" w:hAnsi="Times New Roman" w:cs="Times New Roman"/>
          <w:b/>
          <w:sz w:val="24"/>
          <w:szCs w:val="24"/>
        </w:rPr>
        <w:t>T879030 OPERATIVNE SNAGE CIVILNE ZAŠTITE ZA ZAŠTITU KULTURNE BAŠTINE</w:t>
      </w:r>
    </w:p>
    <w:p w:rsidR="00D755FB" w:rsidRPr="00921F69" w:rsidRDefault="0014303F" w:rsidP="000D61E4">
      <w:pPr>
        <w:spacing w:line="360" w:lineRule="auto"/>
        <w:ind w:firstLine="708"/>
        <w:jc w:val="both"/>
        <w:rPr>
          <w:rFonts w:ascii="Times New Roman" w:hAnsi="Times New Roman" w:cs="Times New Roman"/>
          <w:sz w:val="24"/>
          <w:szCs w:val="24"/>
        </w:rPr>
      </w:pPr>
      <w:r w:rsidRPr="00921F69">
        <w:rPr>
          <w:rFonts w:ascii="Times New Roman" w:hAnsi="Times New Roman" w:cs="Times New Roman"/>
          <w:sz w:val="24"/>
          <w:szCs w:val="24"/>
        </w:rPr>
        <w:t xml:space="preserve">U 2024. godini planirano je za projekt 112.000 EUR, od čega je planirano 27.000 EUR iz izvora 12, a 85.000 EUR iz izvora 51. Realizirano je 58.822 EUR od čega je 9.980 EUR izvršeno iz izvora 12 te 48.842 EUR iz izvora 51. Navedeni troškovi se odnose na službena putovanja, usluge promidžbe i informiranja te ostale usluge. Cilj projekta je unaprijediti postojeće kompetencije operativnih snaga civilne zaštite u suradnji sa sektorom kulture, za zaštitu kulturne baštine u izvanrednim situacijama sa svrhom jačanja međuresorne suradnje, podizanja svijesti o važnosti teme zaštite kulturne baštine i rukovanja istom u izvanrednim situacijama, a s tendencijom razvoja okvira za daljnju edukaciju i osposobljavanje operativnih snaga sustava civilne zaštite (jačanje kapaciteta za odgovor). Prva aktivnost projekta je bilo sudjelovanje na Kick-off sastanku u Bruxellesu u ožujku 2024. gdje je projekt predstavljen. Provedba projekta je započela kroz planirana dva studijska putovanja za članove Radne skupine sa svrhom istraživanja/prikupljanja najboljih praksi međusektorske suradnje i djelovanja na terenu u izvanrednim situacijama u suradnji s drugim ekspertima iz Europske unije (Talijanska i Francuska Civilna zaštita, Vatrogasci i Ministarstva kulture i medija). U Italiji (Rim) je studijsko putovanje održano 19. - 21. ožujka 2024. (sa 3 sudionika iz RCZ-a i 2 iz MKiM), a u Francuskoj (Pariz) od 8. – 10. travnja 2024 (s 3 sudionika iz RCZ-a i 2 iz MKiM). Središnja i najvažnija aktivnost projekta je bio Modul (predavanja/radionice/vježba) za 30 sudionika operativnih snaga civilne zaštite (Državna intervencijska postrojba civilne zaštite, Hrvatska gorska služba spašavanja, Hrvatska vatrogasna zajednica) i 10 sudionika iz Ministarstva kulture i medija, koji je održan od 4. – 8. studenog 2024., u Zagrebu i Sisku. Modul je sadržavao teorijski i praktični dio (praktična radionica pružanja prve pomoći </w:t>
      </w:r>
      <w:r w:rsidRPr="00921F69">
        <w:rPr>
          <w:rFonts w:ascii="Times New Roman" w:hAnsi="Times New Roman" w:cs="Times New Roman"/>
          <w:sz w:val="24"/>
          <w:szCs w:val="24"/>
        </w:rPr>
        <w:lastRenderedPageBreak/>
        <w:t>umjetninama i simulacijska vježba spašavanja umjetnina u slučaju katastrofe za koje su nabavljeni materijali i oprema koja se koristi u rukovanju baštinom) s fokusom na mogućnosti i izazove koji očekuju oba sektora na terenu za vrijeme trajanja izvanredne situacije. U 2024. godini izrađeni su i promidžbeni materijali predviđeni radnim paketom WP4 Informiranje i vidljivost – letci o projektu koju su se dijelili u Zagrebu i Sisku; Kotač prve pomoći (Emergency Response &amp; Salvage Wheel) tiskan u 500 primjeraka koji je distribuiran sudionicima Modula, Područnim uredima civilne zaštite i Konzervatorskim odjelima po svim regijama; pingvin (roll-up) projekta, promotivne majice te kacige s projektnim logom za sudionike Modula.</w:t>
      </w:r>
    </w:p>
    <w:p w:rsidR="000D61E4" w:rsidRPr="00921F69" w:rsidRDefault="000D61E4" w:rsidP="00DE4B87">
      <w:pPr>
        <w:spacing w:line="360" w:lineRule="auto"/>
        <w:jc w:val="both"/>
        <w:rPr>
          <w:rFonts w:ascii="Times New Roman" w:hAnsi="Times New Roman" w:cs="Times New Roman"/>
          <w:sz w:val="24"/>
          <w:szCs w:val="24"/>
        </w:rPr>
      </w:pPr>
    </w:p>
    <w:p w:rsidR="00DE4B87" w:rsidRPr="00921F69" w:rsidRDefault="00DE4B87" w:rsidP="00DE4B87">
      <w:pPr>
        <w:jc w:val="both"/>
        <w:rPr>
          <w:rFonts w:ascii="Times New Roman" w:hAnsi="Times New Roman" w:cs="Times New Roman"/>
          <w:b/>
          <w:sz w:val="24"/>
          <w:szCs w:val="24"/>
        </w:rPr>
      </w:pPr>
      <w:r w:rsidRPr="00921F69">
        <w:rPr>
          <w:rFonts w:ascii="Times New Roman" w:hAnsi="Times New Roman" w:cs="Times New Roman"/>
          <w:b/>
          <w:sz w:val="24"/>
          <w:szCs w:val="24"/>
        </w:rPr>
        <w:t xml:space="preserve">OSTALE POMOĆI – IZVOR 52 </w:t>
      </w:r>
    </w:p>
    <w:p w:rsidR="00074235" w:rsidRPr="00921F69" w:rsidRDefault="00074235" w:rsidP="00DE4B87">
      <w:pPr>
        <w:jc w:val="both"/>
        <w:rPr>
          <w:rFonts w:ascii="Times New Roman" w:hAnsi="Times New Roman" w:cs="Times New Roman"/>
          <w:b/>
          <w:sz w:val="24"/>
          <w:szCs w:val="24"/>
        </w:rPr>
      </w:pPr>
    </w:p>
    <w:p w:rsidR="00175C49" w:rsidRPr="00921F69" w:rsidRDefault="00175C49" w:rsidP="00175C49">
      <w:pPr>
        <w:jc w:val="both"/>
        <w:rPr>
          <w:rFonts w:ascii="Times New Roman" w:hAnsi="Times New Roman" w:cs="Times New Roman"/>
          <w:b/>
          <w:sz w:val="24"/>
          <w:szCs w:val="24"/>
        </w:rPr>
      </w:pPr>
      <w:r w:rsidRPr="00921F69">
        <w:rPr>
          <w:rFonts w:ascii="Times New Roman" w:hAnsi="Times New Roman" w:cs="Times New Roman"/>
          <w:b/>
          <w:sz w:val="24"/>
          <w:szCs w:val="24"/>
        </w:rPr>
        <w:t>K553125 POTPORE RADU I OPREMANJU POLICIJE</w:t>
      </w:r>
    </w:p>
    <w:p w:rsidR="00074235" w:rsidRPr="00921F69" w:rsidRDefault="00175C49" w:rsidP="00074235">
      <w:pPr>
        <w:spacing w:line="360" w:lineRule="auto"/>
        <w:ind w:firstLine="708"/>
        <w:jc w:val="both"/>
        <w:rPr>
          <w:rFonts w:ascii="Times New Roman" w:hAnsi="Times New Roman" w:cs="Times New Roman"/>
          <w:sz w:val="24"/>
          <w:szCs w:val="24"/>
        </w:rPr>
      </w:pPr>
      <w:r w:rsidRPr="00921F69">
        <w:rPr>
          <w:rFonts w:ascii="Times New Roman" w:hAnsi="Times New Roman" w:cs="Times New Roman"/>
          <w:sz w:val="24"/>
          <w:szCs w:val="24"/>
        </w:rPr>
        <w:t>Projekt je planiran na izvoru 52 – Ostale pomoći</w:t>
      </w:r>
      <w:r w:rsidR="000D2D3D" w:rsidRPr="00921F69">
        <w:rPr>
          <w:rFonts w:ascii="Times New Roman" w:hAnsi="Times New Roman" w:cs="Times New Roman"/>
          <w:sz w:val="24"/>
          <w:szCs w:val="24"/>
        </w:rPr>
        <w:t xml:space="preserve"> u</w:t>
      </w:r>
      <w:r w:rsidRPr="00921F69">
        <w:rPr>
          <w:rFonts w:ascii="Times New Roman" w:hAnsi="Times New Roman" w:cs="Times New Roman"/>
          <w:sz w:val="24"/>
          <w:szCs w:val="24"/>
        </w:rPr>
        <w:t xml:space="preserve"> iznos</w:t>
      </w:r>
      <w:r w:rsidR="000D2D3D" w:rsidRPr="00921F69">
        <w:rPr>
          <w:rFonts w:ascii="Times New Roman" w:hAnsi="Times New Roman" w:cs="Times New Roman"/>
          <w:sz w:val="24"/>
          <w:szCs w:val="24"/>
        </w:rPr>
        <w:t>u</w:t>
      </w:r>
      <w:r w:rsidR="00A60534" w:rsidRPr="00921F69">
        <w:rPr>
          <w:rFonts w:ascii="Times New Roman" w:hAnsi="Times New Roman" w:cs="Times New Roman"/>
          <w:sz w:val="24"/>
          <w:szCs w:val="24"/>
        </w:rPr>
        <w:t xml:space="preserve"> od 124.000 EUR, a plaćanje je izvršeno u iznosu od 140.825 EUR.</w:t>
      </w:r>
      <w:r w:rsidR="00074235" w:rsidRPr="00921F69">
        <w:rPr>
          <w:rFonts w:ascii="Times New Roman" w:hAnsi="Times New Roman" w:cs="Times New Roman"/>
          <w:sz w:val="24"/>
          <w:szCs w:val="24"/>
        </w:rPr>
        <w:t xml:space="preserve">  </w:t>
      </w:r>
    </w:p>
    <w:p w:rsidR="00175C49" w:rsidRPr="00921F69" w:rsidRDefault="00074235" w:rsidP="00074235">
      <w:pPr>
        <w:spacing w:line="360" w:lineRule="auto"/>
        <w:ind w:firstLine="708"/>
        <w:jc w:val="both"/>
        <w:rPr>
          <w:rFonts w:ascii="Times New Roman" w:hAnsi="Times New Roman" w:cs="Times New Roman"/>
          <w:sz w:val="24"/>
          <w:szCs w:val="24"/>
        </w:rPr>
      </w:pPr>
      <w:r w:rsidRPr="00921F69">
        <w:rPr>
          <w:rFonts w:ascii="Times New Roman" w:hAnsi="Times New Roman" w:cs="Times New Roman"/>
          <w:sz w:val="24"/>
          <w:szCs w:val="24"/>
        </w:rPr>
        <w:t xml:space="preserve">Na izvoru 52 pratimo izvršenje projekta ERASMUS+ FIRST-TAC u okviru kojeg je sklopljen Sporazum – KA220-VET-1EC648A1. Predmetni sporazum je sklopljen između Policijske škole u Slupsku, Poljska, Litavske policijske škole, Agencije za školovanje i stručno usavršavanje kadrova Bosne i Hercegovine i Ministarstva unutarnjih poslova Republike Hrvatske. Projekt je započeo 01.09.2023. i traje do 30.04.2025. godine. Ukupna vrijednost projekta iznosi 250.000 EUR. Agencija za mobilnost i programe Europske unije kao posredničko tijelo za predmetni projekt je 19.09.2023. godine uplatila 200.000 EUR MUP-u. U 2024. godini na teret sredstava programa ERASMUS+ FIRST-TAC preknjiženi su troškovi radnih sati za pet djelatnika MUP-a koji rade na predmetnom projektu, troškovi dnevnica, troškovi smještaja, troškovi putovanja u inozemstvo (aviokarte i gorivo za vozila) , troškovi sastanaka, troškovi obuka u sklopu projekta. Ukupno utrošena sredstva na predmetnog projektu iznose 45.388 EUR. Na izvoru 52 pratimo izvršenje projekta ERASMUS+ Projekt mobilnosti za studente i osoblje financirani sredstvima za unutarnju politiku. Projekt je započeo 01. lipnja 2023. godine i traje do 31. srpnja 2025. godine. Ukupna vrijednost projekta iznosi 24.396 EUR. Agencija za mobilnost i programe Europske unije uplatila je 21.08.2023. godine MUP-u predujam u iznosu od 19.516,80 EUR. U 2024. godini na predmetnom projektu utrošeno je 7.057 EUR za financijsku potporu studentima Policijske akademije koji su posjetili Policijsku akademiju Donje Saske u Njemačkoj i sudjelovali na edukaciji pod nazivom "Police training in the times of XVR technology" o suvremenim video-simulacijskim tehnologijama u </w:t>
      </w:r>
      <w:r w:rsidRPr="00921F69">
        <w:rPr>
          <w:rFonts w:ascii="Times New Roman" w:hAnsi="Times New Roman" w:cs="Times New Roman"/>
          <w:sz w:val="24"/>
          <w:szCs w:val="24"/>
        </w:rPr>
        <w:lastRenderedPageBreak/>
        <w:t>policijskom obrazovanju, u okviru kombiniranog intenzivnog programa (Blended Intensive Programme). Sredstva predmetnog projekta su utrošena i za obavljanje stručne prakse studenta Policijske akademije u Policijskoj upravi Oldenburg u Njemačkoj u razdoblju od 01. listopada do 30. studenog 2024. godine, kao i na sudjelovanje dvije studentice Policijske akademije na kratkom studijskom programu mikrokvalifikacija na Akademiji sigurnih znanosti (Sisekaitseakad</w:t>
      </w:r>
      <w:r w:rsidR="0026419B" w:rsidRPr="00921F69">
        <w:rPr>
          <w:rFonts w:ascii="Times New Roman" w:hAnsi="Times New Roman" w:cs="Times New Roman"/>
          <w:sz w:val="24"/>
          <w:szCs w:val="24"/>
        </w:rPr>
        <w:t>eemia) u Talinu, Estonija, u ra</w:t>
      </w:r>
      <w:r w:rsidRPr="00921F69">
        <w:rPr>
          <w:rFonts w:ascii="Times New Roman" w:hAnsi="Times New Roman" w:cs="Times New Roman"/>
          <w:sz w:val="24"/>
          <w:szCs w:val="24"/>
        </w:rPr>
        <w:t>z</w:t>
      </w:r>
      <w:r w:rsidR="0026419B" w:rsidRPr="00921F69">
        <w:rPr>
          <w:rFonts w:ascii="Times New Roman" w:hAnsi="Times New Roman" w:cs="Times New Roman"/>
          <w:sz w:val="24"/>
          <w:szCs w:val="24"/>
        </w:rPr>
        <w:t>d</w:t>
      </w:r>
      <w:r w:rsidRPr="00921F69">
        <w:rPr>
          <w:rFonts w:ascii="Times New Roman" w:hAnsi="Times New Roman" w:cs="Times New Roman"/>
          <w:sz w:val="24"/>
          <w:szCs w:val="24"/>
        </w:rPr>
        <w:t>oblju od 9. do 13. prosinca 2024. godine.</w:t>
      </w:r>
    </w:p>
    <w:p w:rsidR="00DE4B87" w:rsidRPr="00921F69" w:rsidRDefault="00DE4B87" w:rsidP="00DE4B87">
      <w:pPr>
        <w:spacing w:line="360" w:lineRule="auto"/>
        <w:jc w:val="both"/>
        <w:rPr>
          <w:rFonts w:ascii="Times New Roman" w:hAnsi="Times New Roman" w:cs="Times New Roman"/>
          <w:sz w:val="24"/>
          <w:szCs w:val="24"/>
        </w:rPr>
      </w:pPr>
    </w:p>
    <w:p w:rsidR="000E6F2B" w:rsidRPr="00921F69" w:rsidRDefault="000E6F2B" w:rsidP="00B067C8">
      <w:pPr>
        <w:jc w:val="both"/>
        <w:rPr>
          <w:rFonts w:ascii="Times New Roman" w:hAnsi="Times New Roman" w:cs="Times New Roman"/>
          <w:b/>
          <w:sz w:val="24"/>
          <w:szCs w:val="24"/>
        </w:rPr>
      </w:pPr>
      <w:r w:rsidRPr="00921F69">
        <w:rPr>
          <w:rFonts w:ascii="Times New Roman" w:hAnsi="Times New Roman" w:cs="Times New Roman"/>
          <w:b/>
          <w:sz w:val="24"/>
          <w:szCs w:val="24"/>
        </w:rPr>
        <w:t>ŠVICARSKI INSTRUMENT – IZVOR 552</w:t>
      </w:r>
    </w:p>
    <w:p w:rsidR="001010E8" w:rsidRPr="00921F69" w:rsidRDefault="001010E8" w:rsidP="001010E8">
      <w:pPr>
        <w:jc w:val="both"/>
        <w:rPr>
          <w:rFonts w:ascii="Times New Roman" w:hAnsi="Times New Roman" w:cs="Times New Roman"/>
          <w:b/>
          <w:sz w:val="24"/>
          <w:szCs w:val="24"/>
        </w:rPr>
      </w:pPr>
    </w:p>
    <w:p w:rsidR="001010E8" w:rsidRPr="00921F69" w:rsidRDefault="001010E8" w:rsidP="00B067C8">
      <w:pPr>
        <w:jc w:val="both"/>
        <w:rPr>
          <w:rFonts w:ascii="Times New Roman" w:hAnsi="Times New Roman" w:cs="Times New Roman"/>
          <w:b/>
          <w:sz w:val="24"/>
          <w:szCs w:val="24"/>
        </w:rPr>
      </w:pPr>
      <w:r w:rsidRPr="00921F69">
        <w:rPr>
          <w:rFonts w:ascii="Times New Roman" w:hAnsi="Times New Roman" w:cs="Times New Roman"/>
          <w:b/>
          <w:sz w:val="24"/>
          <w:szCs w:val="24"/>
        </w:rPr>
        <w:t>T672042 ŠVICARSKO-HRVATSKI PROGRAM SURADNJE „RAZMINIRANJE I DRUŠTVENO-GOSPODARSKA INTEGRACIJA“</w:t>
      </w:r>
    </w:p>
    <w:p w:rsidR="00A66FC6" w:rsidRPr="00921F69" w:rsidRDefault="00A66FC6" w:rsidP="00A66FC6">
      <w:pPr>
        <w:spacing w:before="240" w:after="200" w:line="360" w:lineRule="auto"/>
        <w:ind w:firstLine="708"/>
        <w:jc w:val="both"/>
        <w:rPr>
          <w:rFonts w:ascii="Times New Roman" w:hAnsi="Times New Roman" w:cs="Times New Roman"/>
          <w:sz w:val="24"/>
          <w:szCs w:val="24"/>
          <w:lang w:eastAsia="hr-HR"/>
        </w:rPr>
      </w:pPr>
      <w:r w:rsidRPr="00921F69">
        <w:rPr>
          <w:rFonts w:ascii="Times New Roman" w:hAnsi="Times New Roman" w:cs="Times New Roman"/>
          <w:sz w:val="24"/>
          <w:szCs w:val="24"/>
          <w:lang w:eastAsia="hr-HR"/>
        </w:rPr>
        <w:t>Aktivnosti se temelje na Okvirnom sporazumu između Švicarskog saveznog vijeća i Vlade Republike Hrvatske o provedbi Švicarsko-hrvatskog programa suradnje na smanjenju ekonomskih i socijalnih nejednakosti unutar proširene Europske unije, a koji se provodi u razdoblju od 2016.–2024. godine.</w:t>
      </w:r>
    </w:p>
    <w:p w:rsidR="00A66FC6" w:rsidRPr="00921F69" w:rsidRDefault="00A66FC6" w:rsidP="00A66FC6">
      <w:pPr>
        <w:spacing w:after="200" w:line="360" w:lineRule="auto"/>
        <w:ind w:firstLine="708"/>
        <w:jc w:val="both"/>
        <w:rPr>
          <w:rFonts w:ascii="Times New Roman" w:hAnsi="Times New Roman" w:cs="Times New Roman"/>
          <w:sz w:val="24"/>
          <w:szCs w:val="24"/>
          <w:lang w:eastAsia="hr-HR"/>
        </w:rPr>
      </w:pPr>
      <w:r w:rsidRPr="00921F69">
        <w:rPr>
          <w:rFonts w:ascii="Times New Roman" w:hAnsi="Times New Roman" w:cs="Times New Roman"/>
          <w:sz w:val="24"/>
          <w:szCs w:val="24"/>
          <w:lang w:eastAsia="hr-HR"/>
        </w:rPr>
        <w:t xml:space="preserve">Cilj je stvaranje sigurnog okruženja za lokalno stanovništvo kao preduvjeta za povećanje ekonomskih mogućnosti u smislu korištenja zemljišta i individualnog društveno-ekonomskog osnaživanja, bolje koordinacije između različitih institucija zaduženih za brigu o žrtvama mina te povećanje sposobnosti planiranja aktivnosti i resursa za žrtve mina.  </w:t>
      </w:r>
    </w:p>
    <w:p w:rsidR="00A66FC6" w:rsidRPr="00921F69" w:rsidRDefault="00A66FC6" w:rsidP="00A66FC6">
      <w:pPr>
        <w:spacing w:before="240" w:after="200" w:line="360" w:lineRule="auto"/>
        <w:ind w:firstLine="708"/>
        <w:jc w:val="both"/>
        <w:rPr>
          <w:rFonts w:ascii="Times New Roman" w:hAnsi="Times New Roman" w:cs="Times New Roman"/>
          <w:sz w:val="24"/>
          <w:szCs w:val="24"/>
        </w:rPr>
      </w:pPr>
      <w:r w:rsidRPr="00921F69">
        <w:rPr>
          <w:rFonts w:ascii="Times New Roman" w:hAnsi="Times New Roman" w:cs="Times New Roman"/>
          <w:sz w:val="24"/>
          <w:szCs w:val="24"/>
        </w:rPr>
        <w:t xml:space="preserve">Provedba projekta je započela 01.06.2017. godine te su se projektne aktivnosti odvijale do 30.06.2024. godine. Dana 16.01.2024. potpisan je dodatak Ugovoru o provedbi projekta "Razminiranje i društveno-gospodarska integracija" koji se financira iz Švicarsko-hrvatskoga programa suradnje u kojem je naznačeno da razdoblje prihvatljivosti izdataka za aktivnosti izvještavanja, revizije i evaluacije završavaju zaključno 31.10.2024. Također je u njemu promijenjen ukupni proračun Projekta koji je iznosio 6.123.235 CHF, od čega je 5.199.577 CHF dodijelila Švicarska konfederacija, dok je MUP u proračunu osigurao za plaćanje iznos od 923.659 CHF iz izvora 12 Sredstva učešća za pomoći (15% iznosa troškova, sufinanciranje). </w:t>
      </w:r>
    </w:p>
    <w:p w:rsidR="00A66FC6" w:rsidRPr="00921F69" w:rsidRDefault="00A66FC6" w:rsidP="00A66FC6">
      <w:pPr>
        <w:spacing w:before="240" w:after="200" w:line="360" w:lineRule="auto"/>
        <w:ind w:firstLine="708"/>
        <w:jc w:val="both"/>
        <w:rPr>
          <w:rFonts w:ascii="Times New Roman" w:hAnsi="Times New Roman" w:cs="Times New Roman"/>
          <w:sz w:val="24"/>
          <w:szCs w:val="24"/>
        </w:rPr>
      </w:pPr>
      <w:r w:rsidRPr="00921F69">
        <w:rPr>
          <w:rFonts w:ascii="Times New Roman" w:hAnsi="Times New Roman" w:cs="Times New Roman"/>
          <w:sz w:val="24"/>
          <w:szCs w:val="24"/>
        </w:rPr>
        <w:t>Dana 29. ožujka 2024. godine potpisan je Ugovor o nabavi usluga razminiranja minski sumnjivog prostora br. 1/24 ŠHPS s tvrtkom Istraživač d.o.o. iz Nuštra. Vrijednost Ugovora s PDV-om je iznosila 129.063,75 eura.</w:t>
      </w:r>
    </w:p>
    <w:p w:rsidR="00A66FC6" w:rsidRPr="00921F69" w:rsidRDefault="00A66FC6" w:rsidP="00A66FC6">
      <w:pPr>
        <w:spacing w:before="240" w:after="200" w:line="360" w:lineRule="auto"/>
        <w:ind w:firstLine="708"/>
        <w:jc w:val="both"/>
        <w:rPr>
          <w:rFonts w:ascii="Times New Roman" w:hAnsi="Times New Roman" w:cs="Times New Roman"/>
          <w:sz w:val="24"/>
          <w:szCs w:val="24"/>
        </w:rPr>
      </w:pPr>
      <w:r w:rsidRPr="00921F69">
        <w:rPr>
          <w:rFonts w:ascii="Times New Roman" w:hAnsi="Times New Roman" w:cs="Times New Roman"/>
          <w:sz w:val="24"/>
          <w:szCs w:val="24"/>
        </w:rPr>
        <w:lastRenderedPageBreak/>
        <w:t>Dana 22. svibnja 2024. godine završeno je razminiranje ugovorene površine od 81.300,00 m</w:t>
      </w:r>
      <w:r w:rsidRPr="00921F69">
        <w:rPr>
          <w:rFonts w:ascii="Times New Roman" w:hAnsi="Times New Roman" w:cs="Times New Roman"/>
          <w:sz w:val="24"/>
          <w:szCs w:val="24"/>
          <w:vertAlign w:val="superscript"/>
        </w:rPr>
        <w:t>2</w:t>
      </w:r>
      <w:r w:rsidRPr="00921F69">
        <w:rPr>
          <w:rFonts w:ascii="Times New Roman" w:hAnsi="Times New Roman" w:cs="Times New Roman"/>
          <w:sz w:val="24"/>
          <w:szCs w:val="24"/>
        </w:rPr>
        <w:t xml:space="preserve"> prema Ugovoru u naselju Donja Bučica, lokacija Svinjica i na području općine Sunja, u naselju Žreme, lokacija Gornje Barice. Nakon geodetske izmjere razminiranog područja, Ministarstvo unutarnjih poslova, Ravnateljstvo civilne zaštite, 17. lipnja 2024. godine izdalo je potvrdu o isključenju iz minskog područja u Sisačko-moslavačkoj županiji iz minski sumnjivog područja - šumskog područja "Područje Svinjica i Gornje barice" s ukupnom razminiranom površinom od 81.386 m</w:t>
      </w:r>
      <w:r w:rsidRPr="00921F69">
        <w:rPr>
          <w:rFonts w:ascii="Times New Roman" w:hAnsi="Times New Roman" w:cs="Times New Roman"/>
          <w:sz w:val="24"/>
          <w:szCs w:val="24"/>
          <w:vertAlign w:val="superscript"/>
        </w:rPr>
        <w:t>2</w:t>
      </w:r>
      <w:r w:rsidRPr="00921F69">
        <w:rPr>
          <w:rFonts w:ascii="Times New Roman" w:hAnsi="Times New Roman" w:cs="Times New Roman"/>
          <w:sz w:val="24"/>
          <w:szCs w:val="24"/>
        </w:rPr>
        <w:t>, označenu kao PR-SMGLI-029-11-23. Tijekom razminiranja pronađeno je i uništeno ukupno 31 mina i NUS, od čega 30 mina i 1 NUS.</w:t>
      </w:r>
    </w:p>
    <w:p w:rsidR="00A66FC6" w:rsidRPr="00921F69" w:rsidRDefault="00A66FC6" w:rsidP="00A66FC6">
      <w:pPr>
        <w:spacing w:before="240" w:after="200" w:line="360" w:lineRule="auto"/>
        <w:ind w:firstLine="708"/>
        <w:jc w:val="both"/>
        <w:rPr>
          <w:rFonts w:ascii="Times New Roman" w:hAnsi="Times New Roman" w:cs="Times New Roman"/>
          <w:sz w:val="24"/>
          <w:szCs w:val="24"/>
        </w:rPr>
      </w:pPr>
      <w:r w:rsidRPr="00921F69">
        <w:rPr>
          <w:rFonts w:ascii="Times New Roman" w:hAnsi="Times New Roman" w:cs="Times New Roman"/>
          <w:sz w:val="24"/>
          <w:szCs w:val="24"/>
        </w:rPr>
        <w:t xml:space="preserve"> Nabavljene su info table s podacima o razminiranim područjima od tvrtke Signalgrad d.o.o. u iznosu od 1.999,00 eura te su postavljene početkom lipnja 2024. na navedene lokacije.</w:t>
      </w:r>
    </w:p>
    <w:p w:rsidR="00A66FC6" w:rsidRPr="00921F69" w:rsidRDefault="00A66FC6" w:rsidP="00A66FC6">
      <w:pPr>
        <w:spacing w:before="240" w:after="200" w:line="360" w:lineRule="auto"/>
        <w:ind w:firstLine="708"/>
        <w:jc w:val="both"/>
        <w:rPr>
          <w:rFonts w:ascii="Times New Roman" w:hAnsi="Times New Roman" w:cs="Times New Roman"/>
          <w:sz w:val="24"/>
          <w:szCs w:val="24"/>
        </w:rPr>
      </w:pPr>
      <w:r w:rsidRPr="00921F69">
        <w:rPr>
          <w:rFonts w:ascii="Times New Roman" w:hAnsi="Times New Roman" w:cs="Times New Roman"/>
          <w:sz w:val="24"/>
          <w:szCs w:val="24"/>
        </w:rPr>
        <w:t xml:space="preserve"> Predstavnici Ravnateljstva civilne zaštite, Nastavnog nacionalnog središta civilne zaštite i Hrvatskog centra za razminiranje održali su u Petrinji 20. lipnja 2024. s predstavnicima Posredničkog tijela, Nacionalne koordinacijske jedinice, Veleposlanstva Švicarske Konfederacije u Republici Hrvatskoj, Hrvatskih šuma te ostalih tijela koja su bila uključena u projekt, završni radni sastanak s ručkom na kojem su predstavljene aktivnosti zadnjeg dijela razminiranja minski sumnjivog područja kroz Projekt. Organizacija ručka je bila naručena od strane  tvrtke Korablja Tišinić iz Petrinje u iznosu od 1.210,00 EUR.</w:t>
      </w:r>
    </w:p>
    <w:p w:rsidR="00A66FC6" w:rsidRPr="00921F69" w:rsidRDefault="00A66FC6" w:rsidP="00A66FC6">
      <w:pPr>
        <w:spacing w:before="240" w:after="200" w:line="360" w:lineRule="auto"/>
        <w:ind w:firstLine="708"/>
        <w:jc w:val="both"/>
        <w:rPr>
          <w:rFonts w:ascii="Times New Roman" w:hAnsi="Times New Roman" w:cs="Times New Roman"/>
          <w:sz w:val="24"/>
          <w:szCs w:val="24"/>
        </w:rPr>
      </w:pPr>
      <w:r w:rsidRPr="00921F69">
        <w:rPr>
          <w:rFonts w:ascii="Times New Roman" w:hAnsi="Times New Roman" w:cs="Times New Roman"/>
          <w:sz w:val="24"/>
          <w:szCs w:val="24"/>
        </w:rPr>
        <w:t xml:space="preserve">Tvrtka Revizija Uzor d.o.o. je u kolovozu 2024. izvršila je nadzor vanjske financijske revizije za dodatno trajanje projekta, čija provedba je obuhvaćala razdoblje projekta od 01.01.2024. do 30.06.2024. Naime, dana 07.03.2024. Ministarstvo unutarnjih poslova poslalo je Reviziji Uzor d.o.o. narudžbenicu za obavljanje revizijskih usluga za dodatno trajanje projekta u iznosu od 2.500,00 EUR. Rok za podnošenje dodatnog izvješća vanjske financijske revizije bio je 15.08.2024. Vanjska revizorska tvrtka podnijela je „Izvješće revizora o činjeničnim nalazima za projekt“ zajedno s Pismom Upravi koje je sadržavalo pozitivna zapažanja. </w:t>
      </w:r>
    </w:p>
    <w:p w:rsidR="00A66FC6" w:rsidRPr="00921F69" w:rsidRDefault="00A66FC6" w:rsidP="00A66FC6">
      <w:pPr>
        <w:spacing w:before="240" w:after="200" w:line="360" w:lineRule="auto"/>
        <w:ind w:firstLine="708"/>
        <w:jc w:val="both"/>
        <w:rPr>
          <w:rFonts w:ascii="Times New Roman" w:hAnsi="Times New Roman" w:cs="Times New Roman"/>
          <w:sz w:val="24"/>
          <w:szCs w:val="24"/>
        </w:rPr>
      </w:pPr>
      <w:r w:rsidRPr="00921F69">
        <w:rPr>
          <w:rFonts w:ascii="Times New Roman" w:hAnsi="Times New Roman" w:cs="Times New Roman"/>
          <w:sz w:val="24"/>
          <w:szCs w:val="24"/>
        </w:rPr>
        <w:t xml:space="preserve">Ravnateljstvo civilne zaštite u svojstvu Izvršne agencije u listopadu 2024. podnijelo 15. Privremeno financijsko izvješće (Interim Report), Posredničkom tijelu koje je isto proslijedilo Ministarstvu financija (Tijelu za plaćanje). Ministarstvo financija je na dan 31.10.2024. podnijelo Švicarskoj agenciji za razvoj i kooperaciju „Request for reimbursement  of funds“ za izvještajno razdoblje 01.06.2024. do  31.10.2024. Na osnovu toga u budućem razdoblju očekuje se uplata Švicarske agencije za razvoj i kooperaciju u iznosu 4.289,97 CHF (4.567,20 EUR). Napominjemo kako ukupni zroškovi koji su uključeni u 15. Privremeno financijsko </w:t>
      </w:r>
      <w:r w:rsidRPr="00921F69">
        <w:rPr>
          <w:rFonts w:ascii="Times New Roman" w:hAnsi="Times New Roman" w:cs="Times New Roman"/>
          <w:sz w:val="24"/>
          <w:szCs w:val="24"/>
        </w:rPr>
        <w:lastRenderedPageBreak/>
        <w:t>izvješće iznose 5.709,00 EUR i uključuju sljedeće račune: Signalgrad d.o.o. u iznosu od 1.999,00 eura; Korablja Tišinić iz Petrinje u iznosu od 1.210,00 EUR i Revizija Uzor d.o.o. u iznosu od 2.500,00 EUR od čega se obračunati iznos 4.567,20 EUR (80%) odnosi na švicarski doprinos.</w:t>
      </w:r>
    </w:p>
    <w:p w:rsidR="003D0C3A" w:rsidRPr="003D0C3A" w:rsidRDefault="003D0C3A" w:rsidP="003D0C3A">
      <w:pPr>
        <w:spacing w:after="0" w:line="360" w:lineRule="auto"/>
        <w:ind w:firstLine="708"/>
        <w:jc w:val="both"/>
        <w:rPr>
          <w:rFonts w:ascii="Times New Roman" w:hAnsi="Times New Roman" w:cs="Times New Roman"/>
          <w:sz w:val="24"/>
          <w:szCs w:val="24"/>
        </w:rPr>
      </w:pPr>
      <w:r w:rsidRPr="003D0C3A">
        <w:rPr>
          <w:rFonts w:ascii="Times New Roman" w:hAnsi="Times New Roman" w:cs="Times New Roman"/>
          <w:sz w:val="24"/>
          <w:szCs w:val="24"/>
        </w:rPr>
        <w:t xml:space="preserve">U 2024. godini planirano je 157.500 EUR, od čega na izvoru 12 iznos od 21.500 EUR, a na izvoru 552 iznos od 136.000 EUR.  Plaćanja su u 2024. godini iznosila 139.750 EUR od čega je 118.253 EUR plaćeno s izvora 552, a 21.497 EUR je plaćeno s izvora 12. </w:t>
      </w:r>
    </w:p>
    <w:p w:rsidR="00345D01" w:rsidRPr="00921F69" w:rsidRDefault="00345D01" w:rsidP="009F3813">
      <w:pPr>
        <w:spacing w:line="360" w:lineRule="auto"/>
        <w:jc w:val="both"/>
        <w:rPr>
          <w:rFonts w:ascii="Times New Roman" w:hAnsi="Times New Roman" w:cs="Times New Roman"/>
          <w:sz w:val="24"/>
          <w:szCs w:val="24"/>
        </w:rPr>
      </w:pPr>
    </w:p>
    <w:p w:rsidR="00117D73" w:rsidRPr="00921F69" w:rsidRDefault="00DC3758" w:rsidP="00B15BB9">
      <w:pPr>
        <w:spacing w:line="360" w:lineRule="auto"/>
        <w:jc w:val="both"/>
        <w:rPr>
          <w:rFonts w:ascii="Times New Roman" w:hAnsi="Times New Roman" w:cs="Times New Roman"/>
          <w:b/>
          <w:sz w:val="24"/>
          <w:szCs w:val="24"/>
        </w:rPr>
      </w:pPr>
      <w:r w:rsidRPr="00921F69">
        <w:rPr>
          <w:rFonts w:ascii="Times New Roman" w:hAnsi="Times New Roman" w:cs="Times New Roman"/>
          <w:b/>
          <w:sz w:val="24"/>
          <w:szCs w:val="24"/>
        </w:rPr>
        <w:t>EUROPSKI FOND ZA REGIONALNI RAZVOJ (EFRR)</w:t>
      </w:r>
      <w:r w:rsidR="00F17D7A" w:rsidRPr="00921F69">
        <w:rPr>
          <w:rFonts w:ascii="Times New Roman" w:hAnsi="Times New Roman" w:cs="Times New Roman"/>
          <w:b/>
          <w:sz w:val="24"/>
          <w:szCs w:val="24"/>
        </w:rPr>
        <w:t xml:space="preserve"> – IZVOR 563</w:t>
      </w:r>
    </w:p>
    <w:p w:rsidR="00055E19" w:rsidRPr="00921F69" w:rsidRDefault="00055E19" w:rsidP="00055E19">
      <w:pPr>
        <w:jc w:val="both"/>
        <w:rPr>
          <w:rFonts w:ascii="Times New Roman" w:hAnsi="Times New Roman" w:cs="Times New Roman"/>
          <w:b/>
          <w:sz w:val="24"/>
          <w:szCs w:val="24"/>
        </w:rPr>
      </w:pPr>
      <w:r w:rsidRPr="00921F69">
        <w:rPr>
          <w:rFonts w:ascii="Times New Roman" w:hAnsi="Times New Roman" w:cs="Times New Roman"/>
          <w:b/>
          <w:sz w:val="24"/>
          <w:szCs w:val="24"/>
        </w:rPr>
        <w:t>VIŠ</w:t>
      </w:r>
      <w:r w:rsidR="00F17D7A" w:rsidRPr="00921F69">
        <w:rPr>
          <w:rFonts w:ascii="Times New Roman" w:hAnsi="Times New Roman" w:cs="Times New Roman"/>
          <w:b/>
          <w:sz w:val="24"/>
          <w:szCs w:val="24"/>
        </w:rPr>
        <w:t>EGODIŠNJI FINANCIJSKI OKVIR 2021.-2027</w:t>
      </w:r>
      <w:r w:rsidRPr="00921F69">
        <w:rPr>
          <w:rFonts w:ascii="Times New Roman" w:hAnsi="Times New Roman" w:cs="Times New Roman"/>
          <w:b/>
          <w:sz w:val="24"/>
          <w:szCs w:val="24"/>
        </w:rPr>
        <w:t>.</w:t>
      </w:r>
    </w:p>
    <w:p w:rsidR="00055E19" w:rsidRPr="00921F69" w:rsidRDefault="00055E19" w:rsidP="002D6893">
      <w:pPr>
        <w:spacing w:line="276" w:lineRule="auto"/>
        <w:jc w:val="both"/>
        <w:rPr>
          <w:rFonts w:ascii="Times New Roman" w:hAnsi="Times New Roman" w:cs="Times New Roman"/>
          <w:b/>
          <w:sz w:val="24"/>
          <w:szCs w:val="24"/>
        </w:rPr>
      </w:pPr>
    </w:p>
    <w:p w:rsidR="00F17D7A" w:rsidRPr="00921F69" w:rsidRDefault="00C27041" w:rsidP="00F17D7A">
      <w:pPr>
        <w:spacing w:line="276" w:lineRule="auto"/>
        <w:jc w:val="both"/>
        <w:rPr>
          <w:rFonts w:ascii="Times New Roman" w:hAnsi="Times New Roman" w:cs="Times New Roman"/>
          <w:b/>
          <w:sz w:val="24"/>
          <w:szCs w:val="24"/>
        </w:rPr>
      </w:pPr>
      <w:r w:rsidRPr="00921F69">
        <w:rPr>
          <w:rFonts w:ascii="Times New Roman" w:hAnsi="Times New Roman" w:cs="Times New Roman"/>
          <w:b/>
          <w:sz w:val="24"/>
          <w:szCs w:val="24"/>
        </w:rPr>
        <w:t>K260056</w:t>
      </w:r>
      <w:r w:rsidR="00F17D7A" w:rsidRPr="00921F69">
        <w:rPr>
          <w:rFonts w:ascii="Times New Roman" w:hAnsi="Times New Roman" w:cs="Times New Roman"/>
          <w:b/>
          <w:sz w:val="24"/>
          <w:szCs w:val="24"/>
        </w:rPr>
        <w:t xml:space="preserve"> </w:t>
      </w:r>
      <w:r w:rsidRPr="00921F69">
        <w:rPr>
          <w:rFonts w:ascii="Times New Roman" w:hAnsi="Times New Roman" w:cs="Times New Roman"/>
          <w:b/>
          <w:sz w:val="24"/>
          <w:szCs w:val="24"/>
        </w:rPr>
        <w:t>IZGRADNJA, KUPNJA I ODRŽAVANJE ZGRADA</w:t>
      </w:r>
    </w:p>
    <w:p w:rsidR="007D56B0" w:rsidRPr="00921F69" w:rsidRDefault="007D56B0" w:rsidP="00A279E7">
      <w:pPr>
        <w:spacing w:line="360" w:lineRule="auto"/>
        <w:ind w:firstLine="708"/>
        <w:jc w:val="both"/>
        <w:rPr>
          <w:rFonts w:ascii="Times New Roman" w:hAnsi="Times New Roman" w:cs="Times New Roman"/>
          <w:sz w:val="24"/>
          <w:szCs w:val="24"/>
        </w:rPr>
      </w:pPr>
      <w:r w:rsidRPr="00921F69">
        <w:rPr>
          <w:rFonts w:ascii="Times New Roman" w:hAnsi="Times New Roman" w:cs="Times New Roman"/>
          <w:sz w:val="24"/>
          <w:szCs w:val="24"/>
        </w:rPr>
        <w:t xml:space="preserve">Za </w:t>
      </w:r>
      <w:r w:rsidR="00A63948" w:rsidRPr="00921F69">
        <w:rPr>
          <w:rFonts w:ascii="Times New Roman" w:hAnsi="Times New Roman" w:cs="Times New Roman"/>
          <w:sz w:val="24"/>
          <w:szCs w:val="24"/>
        </w:rPr>
        <w:t>potrebe prijave i dodjele bespovratnih sredstava iz izvora 563 Europski fond za regionalni razvoj (EFRR)</w:t>
      </w:r>
      <w:r w:rsidR="00A279E7" w:rsidRPr="00921F69">
        <w:rPr>
          <w:rFonts w:ascii="Times New Roman" w:hAnsi="Times New Roman" w:cs="Times New Roman"/>
          <w:sz w:val="24"/>
          <w:szCs w:val="24"/>
        </w:rPr>
        <w:t>,</w:t>
      </w:r>
      <w:r w:rsidR="00A63948" w:rsidRPr="00921F69">
        <w:rPr>
          <w:rFonts w:ascii="Times New Roman" w:hAnsi="Times New Roman" w:cs="Times New Roman"/>
          <w:sz w:val="24"/>
          <w:szCs w:val="24"/>
        </w:rPr>
        <w:t xml:space="preserve"> </w:t>
      </w:r>
      <w:r w:rsidR="00F82132" w:rsidRPr="00921F69">
        <w:rPr>
          <w:rFonts w:ascii="Times New Roman" w:hAnsi="Times New Roman" w:cs="Times New Roman"/>
          <w:sz w:val="24"/>
          <w:szCs w:val="24"/>
        </w:rPr>
        <w:t>za što raspisuje natječaj Fond za zaštitu okoliša i energetsku učinkovitost</w:t>
      </w:r>
      <w:r w:rsidR="00A279E7" w:rsidRPr="00921F69">
        <w:rPr>
          <w:rFonts w:ascii="Times New Roman" w:hAnsi="Times New Roman" w:cs="Times New Roman"/>
          <w:sz w:val="24"/>
          <w:szCs w:val="24"/>
        </w:rPr>
        <w:t>,</w:t>
      </w:r>
      <w:r w:rsidR="00F82132" w:rsidRPr="00921F69">
        <w:rPr>
          <w:rFonts w:ascii="Times New Roman" w:hAnsi="Times New Roman" w:cs="Times New Roman"/>
          <w:sz w:val="24"/>
          <w:szCs w:val="24"/>
        </w:rPr>
        <w:t xml:space="preserve"> </w:t>
      </w:r>
      <w:r w:rsidRPr="00921F69">
        <w:rPr>
          <w:rFonts w:ascii="Times New Roman" w:hAnsi="Times New Roman" w:cs="Times New Roman"/>
          <w:sz w:val="24"/>
          <w:szCs w:val="24"/>
        </w:rPr>
        <w:t xml:space="preserve">izrađena je projektna dokumentacija za 7 objekata </w:t>
      </w:r>
      <w:r w:rsidR="00F82132" w:rsidRPr="00921F69">
        <w:rPr>
          <w:rFonts w:ascii="Times New Roman" w:hAnsi="Times New Roman" w:cs="Times New Roman"/>
          <w:sz w:val="24"/>
          <w:szCs w:val="24"/>
        </w:rPr>
        <w:t xml:space="preserve">MUP-a. Međutim </w:t>
      </w:r>
      <w:r w:rsidR="00A279E7" w:rsidRPr="00921F69">
        <w:rPr>
          <w:rFonts w:ascii="Times New Roman" w:hAnsi="Times New Roman" w:cs="Times New Roman"/>
          <w:sz w:val="24"/>
          <w:szCs w:val="24"/>
        </w:rPr>
        <w:t xml:space="preserve">zbog kašnjenja natječaja u 2024. godini nije bilo </w:t>
      </w:r>
      <w:r w:rsidRPr="00921F69">
        <w:rPr>
          <w:rFonts w:ascii="Times New Roman" w:hAnsi="Times New Roman" w:cs="Times New Roman"/>
          <w:sz w:val="24"/>
          <w:szCs w:val="24"/>
        </w:rPr>
        <w:t>plaćanja. </w:t>
      </w:r>
    </w:p>
    <w:p w:rsidR="00BF6E6B" w:rsidRPr="00921F69" w:rsidRDefault="00BF6E6B" w:rsidP="00940752">
      <w:pPr>
        <w:spacing w:after="0" w:line="360" w:lineRule="auto"/>
        <w:jc w:val="both"/>
        <w:rPr>
          <w:rFonts w:ascii="Times New Roman" w:hAnsi="Times New Roman" w:cs="Times New Roman"/>
          <w:bCs/>
          <w:sz w:val="24"/>
          <w:szCs w:val="24"/>
        </w:rPr>
      </w:pPr>
    </w:p>
    <w:p w:rsidR="007F0F75" w:rsidRPr="00921F69" w:rsidRDefault="007F0F75" w:rsidP="007F0F75">
      <w:pPr>
        <w:spacing w:line="276" w:lineRule="auto"/>
        <w:jc w:val="both"/>
        <w:rPr>
          <w:rFonts w:ascii="Times New Roman" w:hAnsi="Times New Roman" w:cs="Times New Roman"/>
          <w:b/>
          <w:sz w:val="24"/>
          <w:szCs w:val="24"/>
        </w:rPr>
      </w:pPr>
      <w:r w:rsidRPr="00921F69">
        <w:rPr>
          <w:rFonts w:ascii="Times New Roman" w:hAnsi="Times New Roman" w:cs="Times New Roman"/>
          <w:b/>
          <w:sz w:val="24"/>
          <w:szCs w:val="24"/>
        </w:rPr>
        <w:t>K879024 RAZMINIRANJE VIŠEGODIŠNJI OKVIR 2021.-2027.</w:t>
      </w:r>
    </w:p>
    <w:p w:rsidR="0069342C" w:rsidRPr="00921F69" w:rsidRDefault="0069342C" w:rsidP="0069342C">
      <w:pPr>
        <w:spacing w:before="240" w:after="200" w:line="360" w:lineRule="auto"/>
        <w:ind w:firstLine="708"/>
        <w:jc w:val="both"/>
        <w:rPr>
          <w:rFonts w:ascii="Times New Roman" w:hAnsi="Times New Roman" w:cs="Times New Roman"/>
          <w:sz w:val="24"/>
          <w:szCs w:val="24"/>
        </w:rPr>
      </w:pPr>
      <w:r w:rsidRPr="00921F69">
        <w:rPr>
          <w:rFonts w:ascii="Times New Roman" w:hAnsi="Times New Roman" w:cs="Times New Roman"/>
          <w:sz w:val="24"/>
          <w:szCs w:val="24"/>
        </w:rPr>
        <w:t xml:space="preserve">Projekt „Croatian Safe Steps – CROSS  provodi se u okviru Programa Konkurentnost i kohezija 2021.-2027., Prioriteta 3. Promicanje energetske učinkovitosti i obnovljivih izvora energije, prilagodbe na klimatske promjene, sprječavanje rizika, zaštita okoliša i održivosti resursa, Specifičnog cilja RSO2.4. Promicanje prilagodbe klimatskim promjenama i sprečavanja rizika od katastrofa te otpornosti, uzimajući u obzir pristupe utemeljene na ekosustavima. </w:t>
      </w:r>
    </w:p>
    <w:p w:rsidR="0069342C" w:rsidRPr="00921F69" w:rsidRDefault="0069342C" w:rsidP="0069342C">
      <w:pPr>
        <w:spacing w:before="240" w:after="200" w:line="360" w:lineRule="auto"/>
        <w:ind w:firstLine="708"/>
        <w:jc w:val="both"/>
        <w:rPr>
          <w:rFonts w:ascii="Times New Roman" w:hAnsi="Times New Roman" w:cs="Times New Roman"/>
          <w:sz w:val="24"/>
          <w:szCs w:val="24"/>
        </w:rPr>
      </w:pPr>
      <w:r w:rsidRPr="00921F69">
        <w:rPr>
          <w:rFonts w:ascii="Times New Roman" w:hAnsi="Times New Roman" w:cs="Times New Roman"/>
          <w:sz w:val="24"/>
          <w:szCs w:val="24"/>
        </w:rPr>
        <w:t>U sklopu projekta K879024 na projektu „Croatian Safe Steps – CROSS u 2024. godini planirano je 36.939.000 EUR, od čega na izvoru 12 iznos od 14.000.000 EUR, a na izvoru 563 iznos od 22.939.000 EUR.  Tijekom 2024. godine sklopljeno je i realizirano 14 ugovora za CROSS 1, a 36 ugovora za CROSS 2. Realizirano</w:t>
      </w:r>
      <w:r w:rsidRPr="00921F69">
        <w:rPr>
          <w:rFonts w:ascii="Times New Roman" w:hAnsi="Times New Roman" w:cs="Times New Roman"/>
          <w:b/>
          <w:sz w:val="24"/>
          <w:szCs w:val="24"/>
        </w:rPr>
        <w:t xml:space="preserve"> </w:t>
      </w:r>
      <w:r w:rsidRPr="00921F69">
        <w:rPr>
          <w:rFonts w:ascii="Times New Roman" w:hAnsi="Times New Roman" w:cs="Times New Roman"/>
          <w:sz w:val="24"/>
          <w:szCs w:val="24"/>
        </w:rPr>
        <w:t>je</w:t>
      </w:r>
      <w:r w:rsidRPr="00921F69">
        <w:rPr>
          <w:rFonts w:ascii="Times New Roman" w:hAnsi="Times New Roman" w:cs="Times New Roman"/>
          <w:b/>
          <w:sz w:val="24"/>
          <w:szCs w:val="24"/>
        </w:rPr>
        <w:t xml:space="preserve"> </w:t>
      </w:r>
      <w:r w:rsidRPr="00921F69">
        <w:rPr>
          <w:rFonts w:ascii="Times New Roman" w:hAnsi="Times New Roman" w:cs="Times New Roman"/>
          <w:sz w:val="24"/>
          <w:szCs w:val="24"/>
        </w:rPr>
        <w:t xml:space="preserve">ukupno 33.766.454 EUR od čega su 20.905.950 EUR bespovratna sredstva Europskog fonda za regionalni razvoj (izvor 563),  a 12.860.504 EUR je nacionalno učešće (izvor 12). </w:t>
      </w:r>
    </w:p>
    <w:p w:rsidR="0069342C" w:rsidRPr="00921F69" w:rsidRDefault="0069342C" w:rsidP="0069342C">
      <w:pPr>
        <w:spacing w:before="240" w:after="200" w:line="360" w:lineRule="auto"/>
        <w:ind w:firstLine="708"/>
        <w:jc w:val="both"/>
        <w:rPr>
          <w:rFonts w:ascii="Times New Roman" w:hAnsi="Times New Roman" w:cs="Times New Roman"/>
          <w:bCs/>
          <w:sz w:val="24"/>
          <w:szCs w:val="24"/>
        </w:rPr>
      </w:pPr>
      <w:r w:rsidRPr="00921F69">
        <w:rPr>
          <w:rFonts w:ascii="Times New Roman" w:hAnsi="Times New Roman" w:cs="Times New Roman"/>
          <w:bCs/>
          <w:sz w:val="24"/>
          <w:szCs w:val="24"/>
        </w:rPr>
        <w:t>Projekt se sastoji od 2 podprojekta: CROSS I i CROSS II.</w:t>
      </w:r>
    </w:p>
    <w:p w:rsidR="0069342C" w:rsidRPr="00921F69" w:rsidRDefault="0069342C" w:rsidP="0069342C">
      <w:pPr>
        <w:pStyle w:val="Odlomakpopisa"/>
        <w:numPr>
          <w:ilvl w:val="0"/>
          <w:numId w:val="8"/>
        </w:numPr>
        <w:spacing w:before="240" w:after="200" w:line="360" w:lineRule="auto"/>
        <w:jc w:val="both"/>
        <w:rPr>
          <w:rFonts w:ascii="Times New Roman" w:hAnsi="Times New Roman" w:cs="Times New Roman"/>
          <w:sz w:val="24"/>
          <w:szCs w:val="24"/>
        </w:rPr>
      </w:pPr>
      <w:r w:rsidRPr="00921F69">
        <w:rPr>
          <w:rFonts w:ascii="Times New Roman" w:hAnsi="Times New Roman" w:cs="Times New Roman"/>
          <w:sz w:val="24"/>
          <w:szCs w:val="24"/>
        </w:rPr>
        <w:lastRenderedPageBreak/>
        <w:t xml:space="preserve">Podprojekt CROSS I: </w:t>
      </w:r>
    </w:p>
    <w:p w:rsidR="0069342C" w:rsidRPr="00921F69" w:rsidRDefault="0069342C" w:rsidP="0069342C">
      <w:pPr>
        <w:tabs>
          <w:tab w:val="left" w:pos="993"/>
        </w:tabs>
        <w:spacing w:line="360" w:lineRule="auto"/>
        <w:jc w:val="both"/>
        <w:rPr>
          <w:rFonts w:ascii="Times New Roman" w:hAnsi="Times New Roman" w:cs="Times New Roman"/>
          <w:sz w:val="24"/>
          <w:szCs w:val="24"/>
        </w:rPr>
      </w:pPr>
      <w:r w:rsidRPr="00921F69">
        <w:rPr>
          <w:rFonts w:ascii="Times New Roman" w:hAnsi="Times New Roman" w:cs="Times New Roman"/>
          <w:sz w:val="24"/>
          <w:szCs w:val="24"/>
        </w:rPr>
        <w:tab/>
        <w:t>Cilj projekta je razminiranje ukupno 34.515.087 m² (3.451,5 ha) šuma i šumskog zemljišta od minsko-eksplozivnih sredstava i neeksplodiranih ubojnih sredstava, od čega 7.143.349 m² (714,33 ha) u Karlovačkoj županiji, 12.756.433 m² (1.275,64 ha) u Ličko-senjskoj županiji, 6.133.364 m² (613,34 ha) u Sisačko-moslavačkoj županiji, 7.420.804 m² (742,08 ha) u Splitsko-dalmatinskoj županiji i 1.061.137 m² (106,11 ha) u Šibensko-kninskoj županiji. Aktivnosti razminiranja provode se na 45 radilišta razminiranja te će se provedbom projekta omogućiti učinkovito smanjenje minski sumnjivog područja, poboljšanje sigurnosti građana i turista u RH, zaštita zdravlja i života ljudi, zaštita okoliša i očuvanje imovine. Uz aktivnost razminiranja, MUP u okviru projekta provodi i aktivnosti Upravljanja te Promidžbe i vidljivosti.</w:t>
      </w:r>
      <w:r w:rsidRPr="00921F69">
        <w:rPr>
          <w:rFonts w:ascii="Times New Roman" w:hAnsi="Times New Roman" w:cs="Times New Roman"/>
          <w:sz w:val="24"/>
          <w:szCs w:val="24"/>
        </w:rPr>
        <w:tab/>
      </w:r>
    </w:p>
    <w:p w:rsidR="0069342C" w:rsidRPr="00921F69" w:rsidRDefault="0069342C" w:rsidP="0069342C">
      <w:pPr>
        <w:spacing w:before="240" w:after="200" w:line="360" w:lineRule="auto"/>
        <w:ind w:firstLine="708"/>
        <w:jc w:val="both"/>
        <w:rPr>
          <w:rFonts w:ascii="Times New Roman" w:eastAsia="Calibri" w:hAnsi="Times New Roman" w:cs="Times New Roman"/>
          <w:noProof/>
          <w:sz w:val="24"/>
          <w:szCs w:val="24"/>
        </w:rPr>
      </w:pPr>
      <w:r w:rsidRPr="00921F69">
        <w:rPr>
          <w:rFonts w:ascii="Times New Roman" w:eastAsia="Calibri" w:hAnsi="Times New Roman" w:cs="Times New Roman"/>
          <w:bCs/>
          <w:sz w:val="24"/>
          <w:szCs w:val="24"/>
        </w:rPr>
        <w:t>Provedba projekta je započela 01.01.2022. godine s planiranim razdobljem trajanja od 24 mjeseca te se projektna aktivnosti odvijala do 31.12.2024. godine.</w:t>
      </w:r>
      <w:r w:rsidRPr="00921F69">
        <w:rPr>
          <w:rFonts w:ascii="Times New Roman" w:eastAsia="Calibri" w:hAnsi="Times New Roman" w:cs="Times New Roman"/>
          <w:noProof/>
          <w:sz w:val="24"/>
          <w:szCs w:val="24"/>
        </w:rPr>
        <w:t xml:space="preserve"> Ukupna vrijednost projekta je 52.234.937  EUR od čega je Europska komisija osigurala bespovratna sredstva u iznosu od 32.281.191  EUR iz izvora 563 Europski fond za regionalni razvoj </w:t>
      </w:r>
      <w:r w:rsidRPr="00921F69">
        <w:rPr>
          <w:rFonts w:ascii="Times New Roman" w:eastAsia="Calibri" w:hAnsi="Times New Roman" w:cs="Times New Roman"/>
          <w:bCs/>
          <w:sz w:val="24"/>
          <w:szCs w:val="24"/>
        </w:rPr>
        <w:t>(prihvatljivo je 61,8% iznosa troškova)</w:t>
      </w:r>
      <w:r w:rsidRPr="00921F69">
        <w:rPr>
          <w:rFonts w:ascii="Times New Roman" w:eastAsia="Calibri" w:hAnsi="Times New Roman" w:cs="Times New Roman"/>
          <w:noProof/>
          <w:sz w:val="24"/>
          <w:szCs w:val="24"/>
        </w:rPr>
        <w:t xml:space="preserve"> dok je MUP u proračunu osigurao za plaćanje iznos od 19.953.746 EUR iz izvora 12 Sredstva učešća za pomoći (38,2% iznosa troškova, sufinanciranje).</w:t>
      </w:r>
    </w:p>
    <w:p w:rsidR="0069342C" w:rsidRPr="00921F69" w:rsidRDefault="0069342C" w:rsidP="0069342C">
      <w:pPr>
        <w:spacing w:line="360" w:lineRule="auto"/>
        <w:ind w:firstLine="708"/>
        <w:jc w:val="both"/>
        <w:rPr>
          <w:rFonts w:ascii="Times New Roman" w:eastAsia="Calibri" w:hAnsi="Times New Roman" w:cs="Times New Roman"/>
          <w:bCs/>
          <w:sz w:val="24"/>
          <w:szCs w:val="24"/>
        </w:rPr>
      </w:pPr>
      <w:r w:rsidRPr="00921F69">
        <w:rPr>
          <w:rFonts w:ascii="Times New Roman" w:eastAsia="Calibri" w:hAnsi="Times New Roman" w:cs="Times New Roman"/>
          <w:bCs/>
          <w:sz w:val="24"/>
          <w:szCs w:val="24"/>
        </w:rPr>
        <w:t>Plaćanja su u 2024. godini iznosila 14.625.576 EUR od čega je 9.067.857 EUR plaćeno s izvora 563, a 5.557.719 EUR je plaćeno s izvora 12. Za usluge razminiranja utrošeno je 14.488.972 EUR, dok je ostatak novčanog iznosa od 136.605 EUR utrošen na nabavu IT opreme, oznaka vizualnog identiteta i plaća za rad na projektu.</w:t>
      </w:r>
    </w:p>
    <w:p w:rsidR="00F544BC" w:rsidRPr="00921F69" w:rsidRDefault="00F544BC" w:rsidP="00B1031A">
      <w:pPr>
        <w:pStyle w:val="Odlomakpopisa"/>
        <w:numPr>
          <w:ilvl w:val="0"/>
          <w:numId w:val="8"/>
        </w:numPr>
        <w:spacing w:before="360" w:after="200" w:line="360" w:lineRule="auto"/>
        <w:jc w:val="both"/>
        <w:rPr>
          <w:rFonts w:ascii="Times New Roman" w:hAnsi="Times New Roman" w:cs="Times New Roman"/>
          <w:sz w:val="24"/>
          <w:szCs w:val="24"/>
        </w:rPr>
      </w:pPr>
      <w:r w:rsidRPr="00921F69">
        <w:rPr>
          <w:rFonts w:ascii="Times New Roman" w:hAnsi="Times New Roman" w:cs="Times New Roman"/>
          <w:sz w:val="24"/>
          <w:szCs w:val="24"/>
        </w:rPr>
        <w:t xml:space="preserve">Podprojekt CROSS II: </w:t>
      </w:r>
    </w:p>
    <w:p w:rsidR="00F544BC" w:rsidRPr="00921F69" w:rsidRDefault="00F544BC" w:rsidP="00F544BC">
      <w:pPr>
        <w:spacing w:before="240" w:after="200" w:line="360" w:lineRule="auto"/>
        <w:ind w:firstLine="708"/>
        <w:jc w:val="both"/>
        <w:rPr>
          <w:rFonts w:ascii="Times New Roman" w:hAnsi="Times New Roman" w:cs="Times New Roman"/>
          <w:sz w:val="24"/>
          <w:szCs w:val="24"/>
        </w:rPr>
      </w:pPr>
      <w:r w:rsidRPr="00921F69">
        <w:rPr>
          <w:rFonts w:ascii="Times New Roman" w:hAnsi="Times New Roman" w:cs="Times New Roman"/>
          <w:sz w:val="24"/>
          <w:szCs w:val="24"/>
        </w:rPr>
        <w:t>Cilj projekta je razminiranje ukupno 48.561.866 m² (4.856 ha) šuma i šumskog zemljišta od MES-a i NUS-a, od čega 1.023.355 m² (102,34 ha) u Karlovačkoj županiji,</w:t>
      </w:r>
      <w:r w:rsidRPr="00921F69">
        <w:rPr>
          <w:rFonts w:ascii="Times New Roman" w:hAnsi="Times New Roman" w:cs="Times New Roman"/>
          <w:sz w:val="24"/>
          <w:szCs w:val="24"/>
        </w:rPr>
        <w:br/>
        <w:t>36.947.168 m² (3.694,72 ha) u Ličko-senjskoj županiji, 4.635.821 m² (463,58 ha) u Sisačko-moslavačkoj županiji i 5.955.522 m² (595,55 ha) u Splitsko-dalmatinskoj županiji. Na dan 1. siječnja 2024. godine MSP na području Ličko-senjske županije obuhvaćalo je 59,3 km², na području Sisačko-moslavačke županije 10,4 km², na području Splitsko- dalmatinske 8 km² te na području Karlovačke županije 14,4 km².</w:t>
      </w:r>
      <w:r w:rsidR="00283C0C">
        <w:rPr>
          <w:rFonts w:ascii="Times New Roman" w:hAnsi="Times New Roman" w:cs="Times New Roman"/>
          <w:sz w:val="24"/>
          <w:szCs w:val="24"/>
        </w:rPr>
        <w:t xml:space="preserve"> </w:t>
      </w:r>
      <w:r w:rsidRPr="00921F69">
        <w:rPr>
          <w:rFonts w:ascii="Times New Roman" w:hAnsi="Times New Roman" w:cs="Times New Roman"/>
          <w:sz w:val="24"/>
          <w:szCs w:val="24"/>
        </w:rPr>
        <w:t xml:space="preserve">Prijavitelj je Ministarstvo unutarnjih poslova (MUP), koje je u skladu sa Zakonom o ustrojstvu i djelokrugu tijela državne uprave (NN 85/20 i 21/23; dalje u tekstu: Zakon o ustrojstvu i djelokrugu tijela državne uprave) te Zakonom o </w:t>
      </w:r>
      <w:r w:rsidRPr="00921F69">
        <w:rPr>
          <w:rFonts w:ascii="Times New Roman" w:hAnsi="Times New Roman" w:cs="Times New Roman"/>
          <w:sz w:val="24"/>
          <w:szCs w:val="24"/>
        </w:rPr>
        <w:lastRenderedPageBreak/>
        <w:t>protuminskom djelovanju (NN 110/15, 118/18, 98/19, 114/22 i 59/23; dalje u tekstu: Zakon o protuminskom djelovanju) nad</w:t>
      </w:r>
      <w:r w:rsidR="00283C0C">
        <w:rPr>
          <w:rFonts w:ascii="Times New Roman" w:hAnsi="Times New Roman" w:cs="Times New Roman"/>
          <w:sz w:val="24"/>
          <w:szCs w:val="24"/>
        </w:rPr>
        <w:t xml:space="preserve">ležno za poslove razminiranja. </w:t>
      </w:r>
      <w:r w:rsidRPr="00921F69">
        <w:rPr>
          <w:rFonts w:ascii="Times New Roman" w:hAnsi="Times New Roman" w:cs="Times New Roman"/>
          <w:sz w:val="24"/>
          <w:szCs w:val="24"/>
        </w:rPr>
        <w:t xml:space="preserve">Aktivnost će se provoditi na 75 radilišta, odnosno područja na kojem se obavljaju poslovi razminiranja, a čija je granica utvrđena idejnim planovima razminiranja. </w:t>
      </w:r>
    </w:p>
    <w:p w:rsidR="00F544BC" w:rsidRPr="00921F69" w:rsidRDefault="00F544BC" w:rsidP="00F544BC">
      <w:pPr>
        <w:spacing w:before="240" w:after="200" w:line="360" w:lineRule="auto"/>
        <w:ind w:firstLine="708"/>
        <w:jc w:val="both"/>
        <w:rPr>
          <w:rFonts w:ascii="Times New Roman" w:hAnsi="Times New Roman" w:cs="Times New Roman"/>
          <w:sz w:val="24"/>
          <w:szCs w:val="24"/>
        </w:rPr>
      </w:pPr>
      <w:r w:rsidRPr="00921F69">
        <w:rPr>
          <w:rFonts w:ascii="Times New Roman" w:eastAsia="Calibri" w:hAnsi="Times New Roman" w:cs="Times New Roman"/>
          <w:bCs/>
          <w:sz w:val="24"/>
          <w:szCs w:val="24"/>
        </w:rPr>
        <w:t>Provedba projekta je započela 01.01.2024. godine s planiranim razdobljem trajanja od 24 mjeseca te će se projektne aktivnosti odvijati do 31.12.2026. godine.</w:t>
      </w:r>
      <w:r w:rsidRPr="00921F69">
        <w:rPr>
          <w:rFonts w:ascii="Times New Roman" w:eastAsia="Calibri" w:hAnsi="Times New Roman" w:cs="Times New Roman"/>
          <w:noProof/>
          <w:sz w:val="24"/>
          <w:szCs w:val="24"/>
        </w:rPr>
        <w:t xml:space="preserve"> Ukupna vrijednost projekta je 77.138.477  EUR od čega Europska komisija osigurava bespovratna sredstva u iznosu od 47.825.856 EUR iz izvora 563 Europski fond za regionalni razvoj </w:t>
      </w:r>
      <w:r w:rsidRPr="00921F69">
        <w:rPr>
          <w:rFonts w:ascii="Times New Roman" w:eastAsia="Calibri" w:hAnsi="Times New Roman" w:cs="Times New Roman"/>
          <w:bCs/>
          <w:sz w:val="24"/>
          <w:szCs w:val="24"/>
        </w:rPr>
        <w:t>(prihvatljivo je 62% iznosa troškova)</w:t>
      </w:r>
      <w:r w:rsidRPr="00921F69">
        <w:rPr>
          <w:rFonts w:ascii="Times New Roman" w:eastAsia="Calibri" w:hAnsi="Times New Roman" w:cs="Times New Roman"/>
          <w:noProof/>
          <w:sz w:val="24"/>
          <w:szCs w:val="24"/>
        </w:rPr>
        <w:t xml:space="preserve"> dok MUP u proračunu osigurava za plaćanje iznos od 29.312.621 EUR iz izvora 12 Sredstva učešća za pomoći (38% iznosa troškova).</w:t>
      </w:r>
    </w:p>
    <w:p w:rsidR="00B1031A" w:rsidRPr="00921F69" w:rsidRDefault="00F544BC" w:rsidP="00B1031A">
      <w:pPr>
        <w:tabs>
          <w:tab w:val="left" w:pos="993"/>
        </w:tabs>
        <w:spacing w:line="360" w:lineRule="auto"/>
        <w:jc w:val="both"/>
        <w:rPr>
          <w:rFonts w:ascii="Times New Roman" w:eastAsia="Calibri" w:hAnsi="Times New Roman" w:cs="Times New Roman"/>
          <w:bCs/>
          <w:sz w:val="24"/>
          <w:szCs w:val="24"/>
        </w:rPr>
      </w:pPr>
      <w:r w:rsidRPr="00921F69">
        <w:rPr>
          <w:rFonts w:ascii="Times New Roman" w:eastAsia="Calibri" w:hAnsi="Times New Roman" w:cs="Times New Roman"/>
          <w:bCs/>
          <w:sz w:val="24"/>
          <w:szCs w:val="24"/>
        </w:rPr>
        <w:t xml:space="preserve"> </w:t>
      </w:r>
      <w:r w:rsidRPr="00921F69">
        <w:rPr>
          <w:rFonts w:ascii="Times New Roman" w:eastAsia="Calibri" w:hAnsi="Times New Roman" w:cs="Times New Roman"/>
          <w:bCs/>
          <w:sz w:val="24"/>
          <w:szCs w:val="24"/>
        </w:rPr>
        <w:tab/>
        <w:t xml:space="preserve">Plaćanja su u 2024. godini iznosila 19.140.877 EUR od čega je 11.867.344 EUR plaćeno s izvora 563, a 7.273.533 EUR je plaćeno s izvora 12. </w:t>
      </w:r>
    </w:p>
    <w:p w:rsidR="00394C92" w:rsidRPr="00921F69" w:rsidRDefault="00394C92" w:rsidP="00B1031A">
      <w:pPr>
        <w:spacing w:line="360" w:lineRule="auto"/>
        <w:jc w:val="both"/>
        <w:rPr>
          <w:rFonts w:ascii="Times New Roman" w:eastAsia="Calibri" w:hAnsi="Times New Roman" w:cs="Times New Roman"/>
          <w:bCs/>
          <w:sz w:val="24"/>
          <w:szCs w:val="24"/>
        </w:rPr>
      </w:pPr>
    </w:p>
    <w:p w:rsidR="00031572" w:rsidRDefault="00031572" w:rsidP="00031572">
      <w:pPr>
        <w:jc w:val="both"/>
        <w:rPr>
          <w:rFonts w:ascii="Times New Roman" w:hAnsi="Times New Roman" w:cs="Times New Roman"/>
          <w:b/>
          <w:sz w:val="24"/>
          <w:szCs w:val="24"/>
        </w:rPr>
      </w:pPr>
      <w:r w:rsidRPr="00921F69">
        <w:rPr>
          <w:rFonts w:ascii="Times New Roman" w:hAnsi="Times New Roman" w:cs="Times New Roman"/>
          <w:b/>
          <w:sz w:val="24"/>
          <w:szCs w:val="24"/>
        </w:rPr>
        <w:t>FONDOVI ZA UNUTARNJE POSLOVE – IZVOR 575 I IZVOR 12</w:t>
      </w:r>
    </w:p>
    <w:p w:rsidR="00BC39BF" w:rsidRPr="00921F69" w:rsidRDefault="00BC39BF" w:rsidP="00031572">
      <w:pPr>
        <w:jc w:val="both"/>
        <w:rPr>
          <w:rFonts w:ascii="Times New Roman" w:hAnsi="Times New Roman" w:cs="Times New Roman"/>
          <w:b/>
          <w:sz w:val="24"/>
          <w:szCs w:val="24"/>
        </w:rPr>
      </w:pPr>
      <w:bookmarkStart w:id="0" w:name="_GoBack"/>
      <w:bookmarkEnd w:id="0"/>
    </w:p>
    <w:p w:rsidR="00031572" w:rsidRPr="00921F69" w:rsidRDefault="00031572" w:rsidP="00031572">
      <w:pPr>
        <w:jc w:val="both"/>
        <w:rPr>
          <w:rFonts w:ascii="Times New Roman" w:hAnsi="Times New Roman" w:cs="Times New Roman"/>
          <w:b/>
          <w:sz w:val="24"/>
          <w:szCs w:val="24"/>
        </w:rPr>
      </w:pPr>
      <w:r w:rsidRPr="00921F69">
        <w:rPr>
          <w:rFonts w:ascii="Times New Roman" w:hAnsi="Times New Roman" w:cs="Times New Roman"/>
          <w:b/>
          <w:sz w:val="24"/>
          <w:szCs w:val="24"/>
        </w:rPr>
        <w:t>VIŠEGODIŠNJI FINANCIJSKI OKVIR 2014.-2020.</w:t>
      </w:r>
    </w:p>
    <w:p w:rsidR="00031572" w:rsidRPr="00921F69" w:rsidRDefault="00031572" w:rsidP="00031572">
      <w:pPr>
        <w:jc w:val="both"/>
        <w:rPr>
          <w:rFonts w:ascii="Times New Roman" w:hAnsi="Times New Roman" w:cs="Times New Roman"/>
          <w:b/>
          <w:sz w:val="24"/>
          <w:szCs w:val="24"/>
        </w:rPr>
      </w:pPr>
    </w:p>
    <w:p w:rsidR="00031572" w:rsidRPr="00921F69" w:rsidRDefault="00031572" w:rsidP="00031572">
      <w:pPr>
        <w:spacing w:line="276" w:lineRule="auto"/>
        <w:jc w:val="both"/>
        <w:rPr>
          <w:rFonts w:ascii="Times New Roman" w:hAnsi="Times New Roman" w:cs="Times New Roman"/>
          <w:b/>
          <w:sz w:val="24"/>
          <w:szCs w:val="24"/>
        </w:rPr>
      </w:pPr>
      <w:r w:rsidRPr="00921F69">
        <w:rPr>
          <w:rFonts w:ascii="Times New Roman" w:hAnsi="Times New Roman" w:cs="Times New Roman"/>
          <w:b/>
          <w:sz w:val="24"/>
          <w:szCs w:val="24"/>
        </w:rPr>
        <w:t>K553167 FOND ZA UNUTARNJU SIGURNOST – INSTRUMENT ZA POLICIJSKU SURADNJU, SPREČAVANJE I SUZBIJANJE KRIMINALA I UPRAVLJANJE KRIZAMA</w:t>
      </w:r>
    </w:p>
    <w:p w:rsidR="006738B9" w:rsidRPr="00921F69" w:rsidRDefault="006738B9" w:rsidP="006738B9">
      <w:pPr>
        <w:spacing w:line="360" w:lineRule="auto"/>
        <w:ind w:firstLine="708"/>
        <w:jc w:val="both"/>
        <w:rPr>
          <w:rFonts w:ascii="Times New Roman" w:hAnsi="Times New Roman" w:cs="Times New Roman"/>
          <w:sz w:val="24"/>
          <w:szCs w:val="24"/>
        </w:rPr>
      </w:pPr>
      <w:r w:rsidRPr="00921F69">
        <w:rPr>
          <w:rFonts w:ascii="Times New Roman" w:hAnsi="Times New Roman" w:cs="Times New Roman"/>
          <w:sz w:val="24"/>
          <w:szCs w:val="24"/>
        </w:rPr>
        <w:t xml:space="preserve">Projekt je otvoren u 2016.g. sa ciljem prevencije i suzbijanja kriminaliteta, te razvojem forenzičke istrage mjesta događaja zbog suzbijanja teških kaznenih djela i organiziranog kriminaliteta što će rezultirati sveobuhvatnim prikupljanjem i analizom tragova kaznenih djela. Kroz projekt se planira nabava suvremene forenzičke opreme za pronalaženje, dokumentiranje i izuzimanje tragova teških kaznenih djela i organiziranog kriminala, uključujući vozila posebno uređena za prijevoz forenzičke opreme te opremljena specijalističkom opremom i sredstvima za istraživanje mjesta događaja. Iz proračuna Unije za ovu komponentu Fonda za unutarnju sigurnost dodijeljen je iznos od 662 milijuna EUR, od čega je za nacionalni program za Republiku Hrvatsku predviđeno 21.749.171 EUR, (Izvor 575 Fondovi za unutarnje poslove) za financijski okvir od 2014. do 2020. godine. U 2016. godini je iz EU sredstava isplaćeno 4.183 EUR, u 2017. godini iz EU sredstava 2.409.652 EUR te iz sredstava učešća za pomoći 775.583 EUR, u 2018. iz EU sredstava 5.401.533 EUR i iz sredstava učešća za pomoći </w:t>
      </w:r>
      <w:r w:rsidRPr="00921F69">
        <w:rPr>
          <w:rFonts w:ascii="Times New Roman" w:hAnsi="Times New Roman" w:cs="Times New Roman"/>
          <w:sz w:val="24"/>
          <w:szCs w:val="24"/>
        </w:rPr>
        <w:lastRenderedPageBreak/>
        <w:t xml:space="preserve">1.501.119 EUR, u 2019. iz EU sredstava 4.433.416 EUR i iz sredstava učešća za pomoći 1.212.939 EUR, u 2020. iz EU sredstava 4.576.398 EUR i iz sredstava učešća za pomoći 1.112.483 EUR, u 2021. iz EU sredstava 3.520.861 EUR te iz sredstava učešća za pomoći 967.917 EUR, u 2022. iz EU sredstava 1.769.856 EUR i iz sredstava učešća za pomoći 160.150 EUR, u 2023. godini iz EU sredstava 1.172.318 EUR i iz sredstava učešća za pomoći 141.595 EUR. U 2024. godini ukupno su planirana financijska sredstva u iznosu od 284.100 EUR, od čega se na Izvoru 12 sredstva učešća za pomoći 24.000 EUR i na Izvoru 575 Fondovi za unutarnje poslove u iznosu od 260.100 EUR. Sa Izvora 12 plaćen je iznos od 22.904 EUR, a sa Izvora 575 iznos od 259.834 EUR. Prema ugovorenim sporazumima o izravnoj dodjeli financijskih sredstava izvršena su plaćanja za: Jačanje kapaciteta MUP-a z zaštiti ljudi i kritične infrastrukture od događaja koji mogu ugroziti sigurnost, Uspostavu sustava za prikupljanje, korištenje i razmjenu podataka o putnicima u zračnom prijevozu, Jačanje kapaciteta MUP-a u borbi protiv svih oblika kibernetičkog kriminaliteta. </w:t>
      </w:r>
    </w:p>
    <w:p w:rsidR="00B21694" w:rsidRPr="00921F69" w:rsidRDefault="006738B9" w:rsidP="006738B9">
      <w:pPr>
        <w:spacing w:line="360" w:lineRule="auto"/>
        <w:ind w:firstLine="708"/>
        <w:jc w:val="both"/>
        <w:rPr>
          <w:rFonts w:ascii="Times New Roman" w:hAnsi="Times New Roman" w:cs="Times New Roman"/>
          <w:sz w:val="24"/>
          <w:szCs w:val="24"/>
        </w:rPr>
      </w:pPr>
      <w:r w:rsidRPr="00921F69">
        <w:rPr>
          <w:rFonts w:ascii="Times New Roman" w:hAnsi="Times New Roman" w:cs="Times New Roman"/>
          <w:sz w:val="24"/>
          <w:szCs w:val="24"/>
        </w:rPr>
        <w:t>Financijski okvir 2014-2020. je završio 30.06.2024. godine te je stoga i predmetni projekt završio na isti datum.</w:t>
      </w:r>
    </w:p>
    <w:p w:rsidR="00031572" w:rsidRPr="00921F69" w:rsidRDefault="00031572" w:rsidP="00031572">
      <w:pPr>
        <w:spacing w:line="276" w:lineRule="auto"/>
        <w:jc w:val="both"/>
        <w:rPr>
          <w:rFonts w:ascii="Times New Roman" w:hAnsi="Times New Roman" w:cs="Times New Roman"/>
          <w:b/>
          <w:sz w:val="24"/>
          <w:szCs w:val="24"/>
        </w:rPr>
      </w:pPr>
      <w:r w:rsidRPr="00921F69">
        <w:rPr>
          <w:rFonts w:ascii="Times New Roman" w:hAnsi="Times New Roman" w:cs="Times New Roman"/>
          <w:b/>
          <w:sz w:val="24"/>
          <w:szCs w:val="24"/>
        </w:rPr>
        <w:t>K553168 FOND ZA UNUTARNJU SIGURNOST – INSTRUMENT ZA GRANICE I      VIZE</w:t>
      </w:r>
    </w:p>
    <w:p w:rsidR="004A06E4" w:rsidRPr="00921F69" w:rsidRDefault="004A06E4" w:rsidP="005B2D4B">
      <w:pPr>
        <w:spacing w:line="360" w:lineRule="auto"/>
        <w:ind w:firstLine="708"/>
        <w:jc w:val="both"/>
        <w:rPr>
          <w:rFonts w:ascii="Times New Roman" w:hAnsi="Times New Roman" w:cs="Times New Roman"/>
          <w:sz w:val="24"/>
          <w:szCs w:val="24"/>
        </w:rPr>
      </w:pPr>
      <w:r w:rsidRPr="00921F69">
        <w:rPr>
          <w:rFonts w:ascii="Times New Roman" w:hAnsi="Times New Roman" w:cs="Times New Roman"/>
          <w:sz w:val="24"/>
          <w:szCs w:val="24"/>
        </w:rPr>
        <w:t xml:space="preserve">Projekt je otvoren u 2016.g. sa općim ciljem pridonošenja visokoj razini sigurnosti u Uniji olakšavanjem putovanja ujednačenim visokokvalitetnim kontrolama vanjskih granica i učinkovitom obradom schengenskih viza u skladu s poštivanjem temeljnih sloboda i ljudskih prava. Fond podržava osiguravanje provedbe Strategije unutarnje sigurnosti te policijsku suradnju na razini EU, kao i upravljanje vanjskim granicama te zajedničku viznu politiku (komponenta za granice i vize). Također uključuje i razvitak novih informacijskih sustava. Iz proračuna Unije za ovu komponentu Fonda za unutarnju sigurnost dodijeljen je iznos od 1,276 milijuna EUR, od čega je za nacionalni program za Republiku Hrvatsku predviđeno 58.428.385 EUR (Izvor 575 Fondovi za unutarnje poslove) za financijski okvir od 2014. do 2020. godine. U 2016. godini je iz EU sredstava isplaćeno 4.577 EUR, u 2017. godini iz EU sredstava 4.796.562 EUR te iz Sredstava učešća za pomoći 1.500.817 EUR, u 2018. iz EU sredstava 2.406.638 EUR i iz Sredstava učešća za pomoći 596.305 EUR, u 2019.g. iz EU sredstava 16.706.681 EUR te iz Sredstava učešća za pomoći 3.967.869 EUR, u 2020. godini iz EU sredstava 8.055.841 EUR i iz Sredstava učešća za pomoći 798.083 EUR, u 2021.g. iz EU sredstava 5.234.8620 EUR te iz Sredstava učešća za pomoći 798.307 EUR ,u 2022 godini iz EU sredstava 5.126.884 EUR i iz Sredstava učešća za pomoći 882.271 EUR, u 2023. godini iz EU sredstava 8.422.292 EUR te iz Sredstava učešća za pomoći 641.039 EUR. </w:t>
      </w:r>
    </w:p>
    <w:p w:rsidR="004A06E4" w:rsidRPr="00921F69" w:rsidRDefault="004A06E4" w:rsidP="005B2D4B">
      <w:pPr>
        <w:spacing w:line="360" w:lineRule="auto"/>
        <w:ind w:firstLine="708"/>
        <w:jc w:val="both"/>
        <w:rPr>
          <w:rFonts w:ascii="Times New Roman" w:hAnsi="Times New Roman" w:cs="Times New Roman"/>
          <w:sz w:val="24"/>
          <w:szCs w:val="24"/>
        </w:rPr>
      </w:pPr>
      <w:r w:rsidRPr="00921F69">
        <w:rPr>
          <w:rFonts w:ascii="Times New Roman" w:hAnsi="Times New Roman" w:cs="Times New Roman"/>
          <w:sz w:val="24"/>
          <w:szCs w:val="24"/>
        </w:rPr>
        <w:lastRenderedPageBreak/>
        <w:t>U 2024. godini ukupno su planirana financijska sredstva u iznosu od 1.943.300 EUR i to samo na Izvoru 575 Fondovi za unutarnje poslove. U 2024. godini plaćanje je iznosilo 1.942.708 EUR i to sve sa Izvora 575. Na predmetnom projektu su izvršena plaćanja i preknjiženja za: naknadu plaća i naknade za prijevoz zaposlenika Upravljačkog tijela. Prema ugovorenim sporazumima o izravnoj dodjeli financijskih sredstava izvršena su plaćanja za: Servis i održavanje tehničke opreme za nadzor vanjske granice EU, Nabavu uredskog namještaja za potrebe rada policijskih službenika nacionalne jedinice ETIAS-a, Adaptaciju službenih prostorija za obavljanje poslova policijskih službenika Službe nacionalnog koordinacijskog centra i analize rizika - ETIAS jedinice, Servis i održavanje mobilnih prikolica sa termovizijskim kamerama za nadzor vanjske granice EU, Nadogradnja informatičkog sustava za upravljanje državnom granicom za potrebe ETIAS sustava, Nadogradnja Entry-Exit sustava, Nadogradnja ETIAS sustava.</w:t>
      </w:r>
    </w:p>
    <w:p w:rsidR="002A1661" w:rsidRPr="00921F69" w:rsidRDefault="004A06E4" w:rsidP="005B2D4B">
      <w:pPr>
        <w:spacing w:line="360" w:lineRule="auto"/>
        <w:ind w:firstLine="708"/>
        <w:jc w:val="both"/>
        <w:rPr>
          <w:rFonts w:ascii="Times New Roman" w:hAnsi="Times New Roman" w:cs="Times New Roman"/>
          <w:sz w:val="24"/>
          <w:szCs w:val="24"/>
        </w:rPr>
      </w:pPr>
      <w:r w:rsidRPr="00921F69">
        <w:rPr>
          <w:rFonts w:ascii="Times New Roman" w:hAnsi="Times New Roman" w:cs="Times New Roman"/>
          <w:sz w:val="24"/>
          <w:szCs w:val="24"/>
        </w:rPr>
        <w:t xml:space="preserve"> Financijski okvir 2014-2020. je završio 30.06.2024. godine te je stoga i predmetni projekt završio na isti datum.</w:t>
      </w:r>
    </w:p>
    <w:p w:rsidR="00031572" w:rsidRPr="00921F69" w:rsidRDefault="00031572" w:rsidP="00031572">
      <w:pPr>
        <w:spacing w:line="276" w:lineRule="auto"/>
        <w:jc w:val="both"/>
        <w:rPr>
          <w:rFonts w:ascii="Times New Roman" w:hAnsi="Times New Roman" w:cs="Times New Roman"/>
          <w:b/>
          <w:sz w:val="24"/>
          <w:szCs w:val="24"/>
        </w:rPr>
      </w:pPr>
      <w:r w:rsidRPr="00921F69">
        <w:rPr>
          <w:rFonts w:ascii="Times New Roman" w:hAnsi="Times New Roman" w:cs="Times New Roman"/>
          <w:b/>
          <w:sz w:val="24"/>
          <w:szCs w:val="24"/>
        </w:rPr>
        <w:t>K553169 FOND ZA AZIL, MIGRACIJE I INTEGRACIJU</w:t>
      </w:r>
    </w:p>
    <w:p w:rsidR="00BE3949" w:rsidRPr="00921F69" w:rsidRDefault="00BE3949" w:rsidP="00BE3949">
      <w:pPr>
        <w:spacing w:line="360" w:lineRule="auto"/>
        <w:ind w:firstLine="708"/>
        <w:jc w:val="both"/>
        <w:rPr>
          <w:rFonts w:ascii="Times New Roman" w:hAnsi="Times New Roman" w:cs="Times New Roman"/>
          <w:sz w:val="24"/>
          <w:szCs w:val="24"/>
        </w:rPr>
      </w:pPr>
      <w:r w:rsidRPr="00921F69">
        <w:rPr>
          <w:rFonts w:ascii="Times New Roman" w:hAnsi="Times New Roman" w:cs="Times New Roman"/>
          <w:sz w:val="24"/>
          <w:szCs w:val="24"/>
        </w:rPr>
        <w:t xml:space="preserve">Projekt je otvoren u 2016.g. sa ciljem učinkovitog upravljanja migracijskim tokovima, jačanjem i razvitkom zajedničke politike azila, supsidijarne zaštite i privremene zaštite, zajedničke imigracijske politike, poštujući pritom pravila i načela iz poglavlja Temeljnih pravila Europske unije. Iz proračuna Unije za Fond azil i migracije dodijeljen je iznos od 3,137 milijuna EUR, od čega je za nacionalni program za Republiku Hrvatsku predviđeno 28.662.317 EUR (Izvor 575 Fondovi za unutarnje poslove) za financijski okvir od 2014. do 2020. godine. U 2016. godini je iz EU sredstava isplaćeno 3.799 EUR, u 2017. godini iz EU sredstava 922.442 EUR te iz sredstava učešća za pomoći 128.850 EUR, u 2018. iz EU sredstava 2.236.108 eur i iz sredstava učešća za pomoći 488.077 eur, u 2019. godini iz EU sredstava 3.114.215 eur, iz sredstava učešća za pomoći 819.100 EUR, u 2020. godini iz EU sredstava 2.026.034 EUR i iz sredstava učešća za pomoći 332.885 EUR, u 2021. godini iz EU sredstava 3.714.010 EUR te iz sredstava učešća za pomoći 519.416 EUR, u 2022. godini iz EU sredstava 2.888.839 EUR i iz sredstava učešća za pomoći 364.354 EUR, u 2023. godini iz EU sredstava 2.084.858 EUR te iz sredstava učešća za pomoći 350.940 EUR. </w:t>
      </w:r>
    </w:p>
    <w:p w:rsidR="00BE3949" w:rsidRPr="00921F69" w:rsidRDefault="00BE3949" w:rsidP="00BE3949">
      <w:pPr>
        <w:spacing w:line="360" w:lineRule="auto"/>
        <w:ind w:firstLine="708"/>
        <w:jc w:val="both"/>
        <w:rPr>
          <w:rFonts w:ascii="Times New Roman" w:hAnsi="Times New Roman" w:cs="Times New Roman"/>
          <w:sz w:val="24"/>
          <w:szCs w:val="24"/>
        </w:rPr>
      </w:pPr>
      <w:r w:rsidRPr="00921F69">
        <w:rPr>
          <w:rFonts w:ascii="Times New Roman" w:hAnsi="Times New Roman" w:cs="Times New Roman"/>
          <w:sz w:val="24"/>
          <w:szCs w:val="24"/>
        </w:rPr>
        <w:t xml:space="preserve">U 2024. godini ukupno su planirana financijska sredstva u iznosu od 955.200 EUR, od čega je na Izvoru 12 sredstva učešća za pomoći 107.500 EUR i na Izvoru 575 Fondovi za unutarnje poslove u iznosu od 847.700 EUR. Plaćanje u 2024. godini na izvoru 12 iznosi 105.907 EUR i na Izvoru 575 551.169 EUR. Prema ugovorenim sporazumima o izravnoj </w:t>
      </w:r>
      <w:r w:rsidRPr="00921F69">
        <w:rPr>
          <w:rFonts w:ascii="Times New Roman" w:hAnsi="Times New Roman" w:cs="Times New Roman"/>
          <w:sz w:val="24"/>
          <w:szCs w:val="24"/>
        </w:rPr>
        <w:lastRenderedPageBreak/>
        <w:t xml:space="preserve">dodjeli financijskih sredstava izvršena su plaćanja za: Pomoć u održavanju adekvatne razine smještaja u Prihvatnom centru za strance, Potpomognuti dragovoljni povratak, Poboljšanje uvjeta smještaja i rada u Prihvatnom centru za strance u Ježevu - II faza, Dodatne edukacije za policijske službenike granične policije, Poboljšanje uvjeta smještaja u Tranzitnom prihvatnom centru Trilj, "Novi susjedi - uključivanje osoba s odobrenom međunarodnom zaštitom u hrvatsko društvo", Uređenje prihvatilišta za tražitelje međunarodne zaštite u Zagrebu, Nabava opreme za potrebe Službe za prihvat i smještaj tražitelja međunarodne zaštite i Službe za međunarodnu zaštitu - NOP2. </w:t>
      </w:r>
    </w:p>
    <w:p w:rsidR="00031572" w:rsidRPr="00921F69" w:rsidRDefault="00BE3949" w:rsidP="00BE3949">
      <w:pPr>
        <w:spacing w:line="360" w:lineRule="auto"/>
        <w:ind w:firstLine="708"/>
        <w:jc w:val="both"/>
        <w:rPr>
          <w:rFonts w:ascii="Times New Roman" w:hAnsi="Times New Roman" w:cs="Times New Roman"/>
          <w:sz w:val="24"/>
          <w:szCs w:val="24"/>
        </w:rPr>
      </w:pPr>
      <w:r w:rsidRPr="00921F69">
        <w:rPr>
          <w:rFonts w:ascii="Times New Roman" w:hAnsi="Times New Roman" w:cs="Times New Roman"/>
          <w:sz w:val="24"/>
          <w:szCs w:val="24"/>
        </w:rPr>
        <w:t>Predmetni Fond se nalazio u Višegodišnjem financijskom okviru koji se odnosi na razdoblje od 1. siječnja 2014. godine do 31. prosinca 2020. godine i isti se koristio do 30.06.2024. godine.</w:t>
      </w:r>
      <w:r w:rsidR="00B21694" w:rsidRPr="00921F69">
        <w:rPr>
          <w:rFonts w:ascii="Times New Roman" w:hAnsi="Times New Roman" w:cs="Times New Roman"/>
          <w:sz w:val="24"/>
          <w:szCs w:val="24"/>
        </w:rPr>
        <w:t>.</w:t>
      </w:r>
    </w:p>
    <w:p w:rsidR="005B2D4B" w:rsidRPr="00921F69" w:rsidRDefault="005B2D4B" w:rsidP="00031572">
      <w:pPr>
        <w:jc w:val="both"/>
        <w:rPr>
          <w:rFonts w:ascii="Times New Roman" w:hAnsi="Times New Roman" w:cs="Times New Roman"/>
          <w:b/>
          <w:sz w:val="24"/>
          <w:szCs w:val="24"/>
        </w:rPr>
      </w:pPr>
    </w:p>
    <w:p w:rsidR="00031572" w:rsidRPr="00921F69" w:rsidRDefault="00031572" w:rsidP="00031572">
      <w:pPr>
        <w:jc w:val="both"/>
        <w:rPr>
          <w:rFonts w:ascii="Times New Roman" w:hAnsi="Times New Roman" w:cs="Times New Roman"/>
          <w:b/>
          <w:sz w:val="24"/>
          <w:szCs w:val="24"/>
        </w:rPr>
      </w:pPr>
      <w:r w:rsidRPr="00921F69">
        <w:rPr>
          <w:rFonts w:ascii="Times New Roman" w:hAnsi="Times New Roman" w:cs="Times New Roman"/>
          <w:b/>
          <w:sz w:val="24"/>
          <w:szCs w:val="24"/>
        </w:rPr>
        <w:t>VIŠEGODIŠNJI FINANCIJSKI OKVIR 2021.-2027.</w:t>
      </w:r>
    </w:p>
    <w:p w:rsidR="00C92404" w:rsidRPr="00921F69" w:rsidRDefault="00C92404" w:rsidP="00031572">
      <w:pPr>
        <w:jc w:val="both"/>
        <w:rPr>
          <w:rFonts w:ascii="Times New Roman" w:hAnsi="Times New Roman" w:cs="Times New Roman"/>
          <w:b/>
          <w:sz w:val="24"/>
          <w:szCs w:val="24"/>
        </w:rPr>
      </w:pPr>
    </w:p>
    <w:p w:rsidR="004B7963" w:rsidRPr="00921F69" w:rsidRDefault="004B7963" w:rsidP="004B7963">
      <w:pPr>
        <w:spacing w:line="360" w:lineRule="auto"/>
        <w:rPr>
          <w:rFonts w:ascii="Times New Roman" w:hAnsi="Times New Roman" w:cs="Times New Roman"/>
          <w:b/>
          <w:sz w:val="24"/>
          <w:szCs w:val="24"/>
        </w:rPr>
      </w:pPr>
      <w:r w:rsidRPr="00921F69">
        <w:rPr>
          <w:rFonts w:ascii="Times New Roman" w:hAnsi="Times New Roman" w:cs="Times New Roman"/>
          <w:b/>
          <w:sz w:val="24"/>
          <w:szCs w:val="24"/>
        </w:rPr>
        <w:t>K849031 HELIKOPTERSKA POTPORA SUSTAVU CIVILE ZAŠTITE - VIŠEGODIŠNJI OKVIR 2021-2027.</w:t>
      </w:r>
    </w:p>
    <w:p w:rsidR="00345E1B" w:rsidRPr="00921F69" w:rsidRDefault="00345E1B" w:rsidP="00345E1B">
      <w:pPr>
        <w:spacing w:line="360" w:lineRule="auto"/>
        <w:ind w:firstLine="708"/>
        <w:jc w:val="both"/>
        <w:rPr>
          <w:rFonts w:ascii="Times New Roman" w:hAnsi="Times New Roman" w:cs="Times New Roman"/>
          <w:sz w:val="24"/>
          <w:szCs w:val="24"/>
        </w:rPr>
      </w:pPr>
      <w:r w:rsidRPr="00921F69">
        <w:rPr>
          <w:rFonts w:ascii="Times New Roman" w:hAnsi="Times New Roman" w:cs="Times New Roman"/>
          <w:sz w:val="24"/>
          <w:szCs w:val="24"/>
        </w:rPr>
        <w:t xml:space="preserve">Projekt je u 2024.g. otvoren s novom oznakom i nazivom zbog praćenja novog programskog razdoblja (PKK 2021.-2027.) te kako bi se osigurao kontinuitet jačanja kapaciteta sustava civilne zaštite, odnosno dovršetak započetog postupka nabave helikoptera u sklopu Programa konkurentnost i kohezija 2021.-2027. Stoga je predviđen nastavak aktivnosti, odnosno Faza 2 projekta „Helikopterska potpora sustavu civilne zaštite“, a u skladu s odredbama čl. 118s Uredbe 1060/2021. </w:t>
      </w:r>
    </w:p>
    <w:p w:rsidR="00345E1B" w:rsidRPr="00921F69" w:rsidRDefault="00345E1B" w:rsidP="00345E1B">
      <w:pPr>
        <w:spacing w:line="360" w:lineRule="auto"/>
        <w:ind w:firstLine="708"/>
        <w:jc w:val="both"/>
        <w:rPr>
          <w:rFonts w:ascii="Times New Roman" w:hAnsi="Times New Roman" w:cs="Times New Roman"/>
          <w:sz w:val="24"/>
          <w:szCs w:val="24"/>
        </w:rPr>
      </w:pPr>
      <w:r w:rsidRPr="00921F69">
        <w:rPr>
          <w:rFonts w:ascii="Times New Roman" w:hAnsi="Times New Roman" w:cs="Times New Roman"/>
          <w:sz w:val="24"/>
          <w:szCs w:val="24"/>
        </w:rPr>
        <w:t xml:space="preserve">Cilj projekta je povećanje spremnosti za upravljanje katastrofama kroz jačanje sposobnosti i kapaciteta operativnih snaga u Republici Hrvatskoj. </w:t>
      </w:r>
    </w:p>
    <w:p w:rsidR="00345E1B" w:rsidRPr="00921F69" w:rsidRDefault="00345E1B" w:rsidP="00345E1B">
      <w:pPr>
        <w:spacing w:line="360" w:lineRule="auto"/>
        <w:ind w:firstLine="708"/>
        <w:jc w:val="both"/>
        <w:rPr>
          <w:rFonts w:ascii="Times New Roman" w:hAnsi="Times New Roman" w:cs="Times New Roman"/>
          <w:sz w:val="24"/>
          <w:szCs w:val="24"/>
        </w:rPr>
      </w:pPr>
      <w:r w:rsidRPr="00921F69">
        <w:rPr>
          <w:rFonts w:ascii="Times New Roman" w:hAnsi="Times New Roman" w:cs="Times New Roman"/>
          <w:sz w:val="24"/>
          <w:szCs w:val="24"/>
        </w:rPr>
        <w:t xml:space="preserve">Kroz projekt je planirano jačanje operativnih kapaciteta sustava civilne zaštite s uključenom nabavom 2 višenamjenska modularno opremljena helikoptera koji će se koristiti za aktivnosti traganja i spašavanja, nadzora pogođenih područja iz zraka te prijevoza ljudi i opreme u područjima pogođenim velikim nesrećama ili katastrofama i po potrebi pružanja hitne medicinske pomoći i prijevoza unesrećenih MUP-u i Republici Hrvatskoj za potrebe sustava civilne zaštite kao i obukom operativnih snaga i sudionika sustava civilne zaštite na višenamjenski opremljenim helikopterima za djelovanje u slučaju izvanrednih događaja, velikih nesreća i katastrofa. </w:t>
      </w:r>
    </w:p>
    <w:p w:rsidR="00E128F8" w:rsidRPr="00921F69" w:rsidRDefault="00345E1B" w:rsidP="00345E1B">
      <w:pPr>
        <w:spacing w:line="360" w:lineRule="auto"/>
        <w:ind w:firstLine="708"/>
        <w:jc w:val="both"/>
        <w:rPr>
          <w:rFonts w:ascii="Times New Roman" w:hAnsi="Times New Roman" w:cs="Times New Roman"/>
          <w:sz w:val="24"/>
          <w:szCs w:val="24"/>
        </w:rPr>
      </w:pPr>
      <w:r w:rsidRPr="00921F69">
        <w:rPr>
          <w:rFonts w:ascii="Times New Roman" w:hAnsi="Times New Roman" w:cs="Times New Roman"/>
          <w:sz w:val="24"/>
          <w:szCs w:val="24"/>
        </w:rPr>
        <w:lastRenderedPageBreak/>
        <w:t xml:space="preserve">Projekt je započeo još 2020.g. kada je Ministarstvo unutarnjih poslova je kao krajnji korisnik bespovratnih sredstava Operativnog programa Konkurentnost i kohezija 2014.-2020., temeljem Odluke o financiranju Ministarstva gospodarstva i održivog razvoja od 7. listopada 2020.g., dana 17. studenog 2020.g. potpisalo Ugovor o dodjeli bespovratnih sredstava za projekt „Helikopterska potpora sustavu civilne zaštite“ od čega te i 1. Dodatak Ugovoru o dodjeli bespovratnih sredstava temeljem nove Odluke o financiranju Ministarstva gospodarstva i održivog razvoja od 18. veljače 2022.g. </w:t>
      </w:r>
    </w:p>
    <w:p w:rsidR="00E128F8" w:rsidRPr="00921F69" w:rsidRDefault="00345E1B" w:rsidP="00345E1B">
      <w:pPr>
        <w:spacing w:line="360" w:lineRule="auto"/>
        <w:ind w:firstLine="708"/>
        <w:jc w:val="both"/>
        <w:rPr>
          <w:rFonts w:ascii="Times New Roman" w:hAnsi="Times New Roman" w:cs="Times New Roman"/>
          <w:sz w:val="24"/>
          <w:szCs w:val="24"/>
        </w:rPr>
      </w:pPr>
      <w:r w:rsidRPr="00921F69">
        <w:rPr>
          <w:rFonts w:ascii="Times New Roman" w:hAnsi="Times New Roman" w:cs="Times New Roman"/>
          <w:sz w:val="24"/>
          <w:szCs w:val="24"/>
        </w:rPr>
        <w:t xml:space="preserve">Ukupan ugovoreni iznos projekta iznosio je 190.000.000 kn (25.217.333,60 EUR) od čega se na bespovratna sredstva odnosilo 85% odnosno 161.500.000 kn (21.434.733,56 EUR). Dodatkom ugovora, prvo ugovoreni iznos projekta uvećan je i iznosio je 273.294.117,65 kn (36.272.362,82 EUR) od čega se na bespovratna sredstva odnosilo 232.300.000 kn (30.831.508,39 EUR). </w:t>
      </w:r>
    </w:p>
    <w:p w:rsidR="00E128F8" w:rsidRPr="00921F69" w:rsidRDefault="00345E1B" w:rsidP="00345E1B">
      <w:pPr>
        <w:spacing w:line="360" w:lineRule="auto"/>
        <w:ind w:firstLine="708"/>
        <w:jc w:val="both"/>
        <w:rPr>
          <w:rFonts w:ascii="Times New Roman" w:hAnsi="Times New Roman" w:cs="Times New Roman"/>
          <w:sz w:val="24"/>
          <w:szCs w:val="24"/>
        </w:rPr>
      </w:pPr>
      <w:r w:rsidRPr="00921F69">
        <w:rPr>
          <w:rFonts w:ascii="Times New Roman" w:hAnsi="Times New Roman" w:cs="Times New Roman"/>
          <w:sz w:val="24"/>
          <w:szCs w:val="24"/>
        </w:rPr>
        <w:t xml:space="preserve">Sukladno uputi Ministarstva gospodarstva i održivog razvoja od 4. prosinca 2023.g. projekt je podijeljen u dvije faze. HEMS I Faza 1 financirala se iz OPKK 2014.-2020. dok se HEMS II Faza 2 planirala financirati iz PKK 2021.-2027. </w:t>
      </w:r>
    </w:p>
    <w:p w:rsidR="00E128F8" w:rsidRPr="00921F69" w:rsidRDefault="00345E1B" w:rsidP="00345E1B">
      <w:pPr>
        <w:spacing w:line="360" w:lineRule="auto"/>
        <w:ind w:firstLine="708"/>
        <w:jc w:val="both"/>
        <w:rPr>
          <w:rFonts w:ascii="Times New Roman" w:hAnsi="Times New Roman" w:cs="Times New Roman"/>
          <w:sz w:val="24"/>
          <w:szCs w:val="24"/>
        </w:rPr>
      </w:pPr>
      <w:r w:rsidRPr="00921F69">
        <w:rPr>
          <w:rFonts w:ascii="Times New Roman" w:hAnsi="Times New Roman" w:cs="Times New Roman"/>
          <w:sz w:val="24"/>
          <w:szCs w:val="24"/>
        </w:rPr>
        <w:t xml:space="preserve">U Fazi 1 koja je završila 31.12.2023.g. ostvareni su preduvjeti za nadogradnju operativnih sposobnosti sudionika i operativnih snaga sustava civilne zaštite za djelovanje u izvanrednim dogođajima, velikim nesrećama i katastrofama jačanjem helikopterskih kapaciteta sustava civilne zaštite. </w:t>
      </w:r>
    </w:p>
    <w:p w:rsidR="00E128F8" w:rsidRPr="00921F69" w:rsidRDefault="00345E1B" w:rsidP="00345E1B">
      <w:pPr>
        <w:spacing w:line="360" w:lineRule="auto"/>
        <w:ind w:firstLine="708"/>
        <w:jc w:val="both"/>
        <w:rPr>
          <w:rFonts w:ascii="Times New Roman" w:hAnsi="Times New Roman" w:cs="Times New Roman"/>
          <w:sz w:val="24"/>
          <w:szCs w:val="24"/>
        </w:rPr>
      </w:pPr>
      <w:r w:rsidRPr="00921F69">
        <w:rPr>
          <w:rFonts w:ascii="Times New Roman" w:hAnsi="Times New Roman" w:cs="Times New Roman"/>
          <w:sz w:val="24"/>
          <w:szCs w:val="24"/>
        </w:rPr>
        <w:t xml:space="preserve">U Fazi 2 koja je započela u 2024.g. planirane su aktivnosti: isporuka 2 višenamjenska helikoptera za potrebe civilne zaštite te finalno plaćanje (izvori 12 i 563) kao i edukacija 12 tehničara i pilota. U prosincu 2024.g. isporučena su dva višenamjenska helikoptera za potrebe civilne zaštite BELL 412 EPX međutim plaćanje računa je prenešeno u 2025.g. </w:t>
      </w:r>
    </w:p>
    <w:p w:rsidR="00E128F8" w:rsidRPr="00921F69" w:rsidRDefault="00345E1B" w:rsidP="00345E1B">
      <w:pPr>
        <w:spacing w:line="360" w:lineRule="auto"/>
        <w:ind w:firstLine="708"/>
        <w:jc w:val="both"/>
        <w:rPr>
          <w:rFonts w:ascii="Times New Roman" w:hAnsi="Times New Roman" w:cs="Times New Roman"/>
          <w:sz w:val="24"/>
          <w:szCs w:val="24"/>
        </w:rPr>
      </w:pPr>
      <w:r w:rsidRPr="00921F69">
        <w:rPr>
          <w:rFonts w:ascii="Times New Roman" w:hAnsi="Times New Roman" w:cs="Times New Roman"/>
          <w:sz w:val="24"/>
          <w:szCs w:val="24"/>
        </w:rPr>
        <w:t xml:space="preserve">S obzirom da financijska sredstva na projektu u 2024.g. nisu bila trošena za plaćanje 2 helikoptera, a u međuvremenu je, zbog žurnosti u postupanju, bilo potrebno platiti prvu ratu za nabavu dva protupožarna zrakoplova DHC-515, plaćanje je provedeno s ovog projekta. Ovim putem napominjemo kako informacija o točnom datumu plaćanja prve rate za prije navedenu nabavu nije pravovremeno dostavljena te i iz tog razloga nije bilo moguće u kratkom roku otvoriti novi projekt samo za protupožarne zrakoplove. </w:t>
      </w:r>
    </w:p>
    <w:p w:rsidR="00E128F8" w:rsidRPr="00921F69" w:rsidRDefault="00345E1B" w:rsidP="00345E1B">
      <w:pPr>
        <w:spacing w:line="360" w:lineRule="auto"/>
        <w:ind w:firstLine="708"/>
        <w:jc w:val="both"/>
        <w:rPr>
          <w:rFonts w:ascii="Times New Roman" w:hAnsi="Times New Roman" w:cs="Times New Roman"/>
          <w:sz w:val="24"/>
          <w:szCs w:val="24"/>
        </w:rPr>
      </w:pPr>
      <w:r w:rsidRPr="00921F69">
        <w:rPr>
          <w:rFonts w:ascii="Times New Roman" w:hAnsi="Times New Roman" w:cs="Times New Roman"/>
          <w:sz w:val="24"/>
          <w:szCs w:val="24"/>
        </w:rPr>
        <w:t xml:space="preserve">Naglašavamo da je Republika Hrvatska iskazala interes za nabavu protupožarnih zrakoplova DHC-515 zajedno s Grčkom, Španjolskom, Portugalom, Italijom i Francuskom s ciljem uspostave trajnih protupožarnih kapaciteta na razini Europske unije (trajni rescEU </w:t>
      </w:r>
      <w:r w:rsidRPr="00921F69">
        <w:rPr>
          <w:rFonts w:ascii="Times New Roman" w:hAnsi="Times New Roman" w:cs="Times New Roman"/>
          <w:sz w:val="24"/>
          <w:szCs w:val="24"/>
        </w:rPr>
        <w:lastRenderedPageBreak/>
        <w:t>kapaciteti) stoga je Ministarstvo unutarnjih poslova s Europskom komisijom (DG ECHO) u listopadu zaključio Ugovor o dodjeli bespovratnih financijskih sredstava „Projekt 101122168 – rescEU-AFFF-P-HR“ kojim je Republici Hrvatskoj stavljeno na raspolaganje 100.000.000 EUR za nabavu dva protupožarna zrakoplova modela DHC-515. Europska komisija je 23. listopada 2023. godine uplatila prvu ratu MUP-u u iznosu od 30.000.000 EUR. Dana 25. ožujka 2024. godine između Ministarstva unutarnjih poslova i Canadian Commercial Corporation sklopljen je Ugovor o kupnji predmetnih protupožarnih zrakoplova na iznos od 105.000.000 USD-a bez PDV-a. U 2024. godini plaćena je prva rata za nabavu dva protupožarna zrakoplova modela DHC-515 iz predmetnog projekta u iznosu od 28.817.126 EUR samo iz EU sredstava – izvora 575 Fondovi za unutarnje poslove.</w:t>
      </w:r>
    </w:p>
    <w:p w:rsidR="001B3497" w:rsidRPr="00921F69" w:rsidRDefault="001B3497" w:rsidP="00345E1B">
      <w:pPr>
        <w:spacing w:line="360" w:lineRule="auto"/>
        <w:ind w:firstLine="708"/>
        <w:jc w:val="both"/>
        <w:rPr>
          <w:rFonts w:ascii="Times New Roman" w:hAnsi="Times New Roman" w:cs="Times New Roman"/>
          <w:b/>
          <w:sz w:val="24"/>
          <w:szCs w:val="24"/>
        </w:rPr>
      </w:pPr>
      <w:r w:rsidRPr="00921F69">
        <w:rPr>
          <w:rFonts w:ascii="Times New Roman" w:hAnsi="Times New Roman" w:cs="Times New Roman"/>
          <w:b/>
          <w:sz w:val="24"/>
          <w:szCs w:val="24"/>
        </w:rPr>
        <w:t>K863024 FOND ZA INTEGRIRANO UPRAVLJANJE GRANICAMA – INSTRUMENT ZA FINANCIJSKU POTPORU U PODRUČJU UPRAVLJANJA GRANICAMA I VIZNE POLITIKE 2021.-2027.</w:t>
      </w:r>
    </w:p>
    <w:p w:rsidR="005B2D4B" w:rsidRPr="00921F69" w:rsidRDefault="001B3497" w:rsidP="0018165C">
      <w:pPr>
        <w:spacing w:line="360" w:lineRule="auto"/>
        <w:ind w:firstLine="708"/>
        <w:jc w:val="both"/>
        <w:rPr>
          <w:rFonts w:ascii="Times New Roman" w:hAnsi="Times New Roman" w:cs="Times New Roman"/>
          <w:sz w:val="24"/>
          <w:szCs w:val="24"/>
        </w:rPr>
      </w:pPr>
      <w:r w:rsidRPr="00921F69">
        <w:rPr>
          <w:rFonts w:ascii="Times New Roman" w:hAnsi="Times New Roman" w:cs="Times New Roman"/>
          <w:sz w:val="24"/>
          <w:szCs w:val="24"/>
        </w:rPr>
        <w:t xml:space="preserve">Projekt je otvoren u 2023. godini sa ciljem pridonošenja visokoj razini sigurnosti u Uniji olakšavanjem putovanja ujednačenim visokokvalitetnim kontrolama vanjskih granica i učinkovitom obradom schengenskih viza u skladu s poštivanjem temeljnih sloboda i ljudskih prava. Fond podržava osiguravanje provedbe Strategije unutarnje sigurnosti te policijsku suradnju na razini EU, kao i upravljanje vanjskim granicama Unije te zajedničku viznu politiku (komponenta za granice i vize). Također uključuje i razvitak novih informacijskih sustava. U okviru Programa Fonda za integrirano upravljanje granicama, Instrumenta za financijsku potporu u području upravljanja granicama i vizne politike 2021. - 2027. na raspolaganju je iznos od 172.926.701,72 EUR. U 2023. godini ukupno plaćanje je iznosilo 5.114.070 EUR, od čega je na Izvoru 12 izvršeno plaćanje u iznosu od 321.730 EUR te na Izvoru 575 iznos od 4.792.340 EUR. U 2024. godini ukupno su planirana financijska sredstva u iznosu od 18.093.200 EUR, od čega na Izvoru 12 Sredstva učešća za pomoći u iznosu od 5.353.200 EUR i na Izvoru 575 Fondovi za unutarnje poslove 12.740.000 EUR. Ukupno plaćanje u 2024. godini je iznosilo 33.339.596 EUR, od čega je na Izvoru 12 izvršeno plaćanje u iznosu od 5.219.990 EUR te na Izvoru 575 iznos od 28.119.606 EUR. Prema ugovorenim sporazumima o izravnoj dodjeli financijskih sredstava izvršena su plaćanja za: Priprema HR SIRENE ureda i krajnjih korisnika za implementaciju interoperabilnosti, Nezavisni mehanizam nadzora zaštite temeljnih prava u postupanju policijskih službenika MUP-a u području zaštite granice, nezakonitih migracija i međunarodne zaštite, Nabava operativne opreme za graničnu kontrolu za potrebe EES-a, Nabava specijalizirane opreme za nadzor državne granice - sustavi mobilnih </w:t>
      </w:r>
      <w:r w:rsidRPr="00921F69">
        <w:rPr>
          <w:rFonts w:ascii="Times New Roman" w:hAnsi="Times New Roman" w:cs="Times New Roman"/>
          <w:sz w:val="24"/>
          <w:szCs w:val="24"/>
        </w:rPr>
        <w:lastRenderedPageBreak/>
        <w:t>termovizijskih kamera na prikolicama i terenska vozila, Nabava magnetsko-optičkih uređaja za identifikaciju i detekciju krivotvorenih brojeva šasija vozila, Nabava pogonskog goriva za plovila za nadzor granice na moru 2023.-2024., Održavanje plovila za nadzor državne granice na moru i rijekama za 2023.-2025., Redovno održavanje Podsustava za nadzor državne granice na moru (PNDGM) 2023.-2025., Osiguranje dnevnog obroka policijskim službenicima na terenu za nadzor vanjske granice EU-a, Nabava potrošnog materijala za potrebe rada i održavanje uređaja za detekciju droga i eksploziva 2023.-2026., Nabava stacionarnih sustava za nadzor vanjske granice Europske unije, Troškovi terenskog rada, dnevnica i prekovremenog rada policijskih službenika pri nadzoru vanjske granice EU, Tečaj temeljnih prava za policijske službenike granične policije, Obuka policijskih službenika granične policije za upravljanje terenskim vozilima u realnim uvjetima terenske vožnje, Troškovi smještaja policijskih službenika na ispomoći pri nadzoru vanjske granice EU, Adaptacija i opremanje službenih prostorija nacionalnog pomorskog centra Zadar, Stjecanje vlasništva nad smještajno-obučnim centrom granične policije Spačva, Razvoj Schengenskog informacijskog sustava, Održavanje Schengenskog informacijskog sustava, Održavanje sigurnog informacijskog sustava za upravljanje državnog granicom (NBMIS).</w:t>
      </w:r>
    </w:p>
    <w:p w:rsidR="00437DF9" w:rsidRPr="00921F69" w:rsidRDefault="00437DF9" w:rsidP="00A15E2B">
      <w:pPr>
        <w:spacing w:line="360" w:lineRule="auto"/>
        <w:rPr>
          <w:rFonts w:ascii="Times New Roman" w:hAnsi="Times New Roman" w:cs="Times New Roman"/>
          <w:b/>
          <w:sz w:val="24"/>
          <w:szCs w:val="24"/>
        </w:rPr>
      </w:pPr>
      <w:r w:rsidRPr="00921F69">
        <w:rPr>
          <w:rFonts w:ascii="Times New Roman" w:hAnsi="Times New Roman" w:cs="Times New Roman"/>
          <w:b/>
          <w:sz w:val="24"/>
          <w:szCs w:val="24"/>
        </w:rPr>
        <w:t>K863025 LOGISTIČKO DISTRUBUTIVNO SREDIŠTE ZA OPERATIVNO DJELOVANJE – TRUST</w:t>
      </w:r>
    </w:p>
    <w:p w:rsidR="00437DF9" w:rsidRPr="00921F69" w:rsidRDefault="00437DF9" w:rsidP="00437DF9">
      <w:pPr>
        <w:spacing w:line="360" w:lineRule="auto"/>
        <w:ind w:firstLine="708"/>
        <w:jc w:val="both"/>
        <w:rPr>
          <w:rFonts w:ascii="Times New Roman" w:hAnsi="Times New Roman" w:cs="Times New Roman"/>
          <w:sz w:val="24"/>
          <w:szCs w:val="24"/>
        </w:rPr>
      </w:pPr>
      <w:r w:rsidRPr="00921F69">
        <w:rPr>
          <w:rFonts w:ascii="Times New Roman" w:hAnsi="Times New Roman" w:cs="Times New Roman"/>
          <w:sz w:val="24"/>
          <w:szCs w:val="24"/>
        </w:rPr>
        <w:t xml:space="preserve">Cilj projekta je razvoj rescEU kapaciteta u sklopu razvoja zajedničke europske pričuve za hitne situacije - razvoj zaliha medicinskog materijala i/ili osobne zaštitne opreme usmjerene na borbu protiv ozbiljnih prekograničnih prijetnji zdravlju s posebnim naglaskom na stvaranje zaliha zaštitne opreme namijenjene zemljama regije. Mjesto izvršenja projekta je Logistički centar civilne zaštite Jastrebarsko (bivša vojarna dr. Ante Starčevića u Jastrebarskom). </w:t>
      </w:r>
    </w:p>
    <w:p w:rsidR="00437DF9" w:rsidRPr="00921F69" w:rsidRDefault="00437DF9" w:rsidP="00437DF9">
      <w:pPr>
        <w:spacing w:line="360" w:lineRule="auto"/>
        <w:ind w:firstLine="708"/>
        <w:jc w:val="both"/>
        <w:rPr>
          <w:rFonts w:ascii="Times New Roman" w:hAnsi="Times New Roman" w:cs="Times New Roman"/>
          <w:sz w:val="24"/>
          <w:szCs w:val="24"/>
        </w:rPr>
      </w:pPr>
      <w:r w:rsidRPr="00921F69">
        <w:rPr>
          <w:rFonts w:ascii="Times New Roman" w:hAnsi="Times New Roman" w:cs="Times New Roman"/>
          <w:sz w:val="24"/>
          <w:szCs w:val="24"/>
        </w:rPr>
        <w:t xml:space="preserve">Projekt je počeo 01.07.2022.g. s planiranim razdobljem provedbe projekta od 48 mjeseci te će se provedba odvijati zaključno do 30.06.2026.g. Ukupna vrijednost projekta je 10.487.375,36 EUR od čega Europska komisija osigurava bespovratna sredstva u iznosu od 8.389.900,29 EUR iz izvora 575 Fondovi za unutarnje poslove (prihvatljivo je 100% iznosa troškova, osim iznosa PDV-a), dok MUP u proračunu osigurava za plaćanje PDV-a iznos 2.097.475,07 EUR iz izvora 12 Sredstva učešća za pomoći (sufinanciranje). Nakon potpisivanja ugovora, 15.06.2022.g., zaprimljeno je predfinanciranje u iznosu od 6.711.920,23 EUR odnosno 80% od ukupnog iznosa bespovratnih sredstava. Projekt se planira realizirati kroz četiri projektne aktivnosti: 1) Adaptacija dva skladišta (Hangari br. 3 i 4) 2) Nabava zaštitne medicinske opreme (maske, odijela i PCR testovi) 3) Izrada Standardne operativne </w:t>
      </w:r>
      <w:r w:rsidRPr="00921F69">
        <w:rPr>
          <w:rFonts w:ascii="Times New Roman" w:hAnsi="Times New Roman" w:cs="Times New Roman"/>
          <w:sz w:val="24"/>
          <w:szCs w:val="24"/>
        </w:rPr>
        <w:lastRenderedPageBreak/>
        <w:t xml:space="preserve">procedure (SOP) koja će obuhvatiti postupak čuvanja, rotacije i distribucije medicinske zaštitne opreme sukladno zahtjevima koje će ovom Ministarstvu stizati putem informacijskog sustava CECIS. 4) Organizacija virtualne radionice za članice Mehanizma. U 2022. godini utrošeno je ukupno 24.901 EUR od čega je s izvora 575 plaćeno 24.830 EUR dok je s izvora 12 plaćen 71 EUR. Plaćanja su u 2023. godini iznosila 834.163 EUR od čega je 723.220 EUR plaćeno s izvora 575, a 110.943 EUR je plaćeno s izvora 12. Također, u 2023. godini izrađen je i poslan Europskoj komisiji 1. i 2. Izvještaj o napretku. </w:t>
      </w:r>
    </w:p>
    <w:p w:rsidR="00437DF9" w:rsidRPr="00921F69" w:rsidRDefault="00437DF9" w:rsidP="00437DF9">
      <w:pPr>
        <w:spacing w:line="360" w:lineRule="auto"/>
        <w:ind w:firstLine="708"/>
        <w:jc w:val="both"/>
        <w:rPr>
          <w:rFonts w:ascii="Times New Roman" w:hAnsi="Times New Roman" w:cs="Times New Roman"/>
          <w:sz w:val="24"/>
          <w:szCs w:val="24"/>
        </w:rPr>
      </w:pPr>
      <w:r w:rsidRPr="00921F69">
        <w:rPr>
          <w:rFonts w:ascii="Times New Roman" w:hAnsi="Times New Roman" w:cs="Times New Roman"/>
          <w:sz w:val="24"/>
          <w:szCs w:val="24"/>
        </w:rPr>
        <w:t>U 2024. godini ukupno su planirana sredstva u iznosu od 1.220.500 EUR od čega je na izvoru 575 planirano 794.000 EUR, dok je na izvoru 12 planirano 426.500 EUR. Plaćanja su u 2024. godini iznosila 512.125 EUR od čega je 405.503 EUR plaćeno s izvora 575, a 106.622 EUR je plaćeno s izvora 12. Utrošena sredstva u 2024. g. najvećim dijelom odnose se na troškove završetka adaptacije dva skladišta u Logističkom centru Ravnateljstva civilne zaštite te troškove početka radova na pristupnom putu za interventna vozila, nadzora radova i otklanjanju nedostataka u ukupnom iznosu 228.590 EUR (od čega 155.272 EUR na izvoru 575 i 73.318 EUR na izvoru 12), zatim na troškove nabave dijela zaštitne medicinske opreme i to količini od 14.200 zaštitnih odijela s kapuljačom u ukupnom iznosu od 108.275 EUR (od čega 86.620 EUR na izvoru 575 i 21.655 na izvoru 12), dok se preostala plaćanja odnose na troškove plaća voditelja i članova projektnog tima (iznos od 94.449 EUR, plaćeno s izvora 575), na troškove plaćanja naknada vanjskim suradnicima za rad na projektu putem sklopljenih Ugovora o djelu (iznos od 22.568 EUR, plaćeno s izvora 575) te na troškove nabave metalnih regala, viličara i zamrzivača. U 2024. godini je izrađen 3. Izvještaj o napretku projekta te je poslan Europskoj komisiji. Isto tako, pokrenuta je i druga projektna aktivnost nabave zaštitne opreme definirana projektom kao i potpisivanje ugovora o nabavi, a isporuka opreme očekuje se tijekom 2024. i 2025. godine.</w:t>
      </w:r>
    </w:p>
    <w:p w:rsidR="008104BF" w:rsidRPr="00921F69" w:rsidRDefault="008104BF" w:rsidP="00A15E2B">
      <w:pPr>
        <w:spacing w:line="276" w:lineRule="auto"/>
        <w:rPr>
          <w:rFonts w:ascii="Times New Roman" w:hAnsi="Times New Roman" w:cs="Times New Roman"/>
          <w:b/>
          <w:sz w:val="24"/>
          <w:szCs w:val="24"/>
        </w:rPr>
      </w:pPr>
      <w:r w:rsidRPr="00921F69">
        <w:rPr>
          <w:rFonts w:ascii="Times New Roman" w:hAnsi="Times New Roman" w:cs="Times New Roman"/>
          <w:b/>
          <w:sz w:val="24"/>
          <w:szCs w:val="24"/>
        </w:rPr>
        <w:t>K863026 SUSTAV NA DALJINSKO UPRAVLJANJE ZA KBRN DEKONTAMINACIJU – DECON</w:t>
      </w:r>
    </w:p>
    <w:p w:rsidR="008104BF" w:rsidRPr="00921F69" w:rsidRDefault="008104BF" w:rsidP="008104BF">
      <w:pPr>
        <w:spacing w:line="360" w:lineRule="auto"/>
        <w:ind w:firstLine="708"/>
        <w:jc w:val="both"/>
        <w:rPr>
          <w:rFonts w:ascii="Times New Roman" w:hAnsi="Times New Roman" w:cs="Times New Roman"/>
          <w:sz w:val="24"/>
          <w:szCs w:val="24"/>
        </w:rPr>
      </w:pPr>
      <w:r w:rsidRPr="00921F69">
        <w:rPr>
          <w:rFonts w:ascii="Times New Roman" w:hAnsi="Times New Roman" w:cs="Times New Roman"/>
          <w:sz w:val="24"/>
          <w:szCs w:val="24"/>
        </w:rPr>
        <w:t>Projekt „Daljinski upravljani sustavi za KBRN dekontaminaciju - ROSDEC“ ima za cilj razviti, održavati i osigurati dostupnost rescEU kapaciteta za kemijsku, biološku, radiološku i nuklearnu (KBRN) dekontaminaciju nakon velikih kemijskih, bioloških, radioloških i nuklearnih katastrofa.</w:t>
      </w:r>
    </w:p>
    <w:p w:rsidR="008104BF" w:rsidRPr="00921F69" w:rsidRDefault="008104BF" w:rsidP="008104BF">
      <w:pPr>
        <w:spacing w:line="360" w:lineRule="auto"/>
        <w:ind w:firstLine="708"/>
        <w:jc w:val="both"/>
        <w:rPr>
          <w:rFonts w:ascii="Times New Roman" w:hAnsi="Times New Roman" w:cs="Times New Roman"/>
          <w:sz w:val="24"/>
          <w:szCs w:val="24"/>
        </w:rPr>
      </w:pPr>
      <w:r w:rsidRPr="00921F69">
        <w:rPr>
          <w:rFonts w:ascii="Times New Roman" w:hAnsi="Times New Roman" w:cs="Times New Roman"/>
          <w:sz w:val="24"/>
          <w:szCs w:val="24"/>
        </w:rPr>
        <w:t xml:space="preserve">Provedba projekta je počela 01.03.2022.g., a odvijat će se zaključno do 30.09.2026.g. Ukupna vrijednost projekta je 25.946.420,00 EUR od čega Europska komisija osigurava bespovratna sredstva u iznosu od 20.757.136,00 EUR iz izvora 575 Fondovi za unutarnje </w:t>
      </w:r>
      <w:r w:rsidRPr="00921F69">
        <w:rPr>
          <w:rFonts w:ascii="Times New Roman" w:hAnsi="Times New Roman" w:cs="Times New Roman"/>
          <w:sz w:val="24"/>
          <w:szCs w:val="24"/>
        </w:rPr>
        <w:lastRenderedPageBreak/>
        <w:t xml:space="preserve">poslove (prihvatljivo je 100% iznosa troškova, osim iznosa PDV-a), dok MUP u proračunu osigurava za plaćanje PDV-a iznos 5.189.284,00 EUR iz izvora 12 Sredstva učešća za pomoći (sufinanciranje). </w:t>
      </w:r>
    </w:p>
    <w:p w:rsidR="00C97636" w:rsidRPr="00921F69" w:rsidRDefault="008104BF" w:rsidP="00C97636">
      <w:pPr>
        <w:spacing w:line="360" w:lineRule="auto"/>
        <w:ind w:firstLine="708"/>
        <w:jc w:val="both"/>
        <w:rPr>
          <w:rFonts w:ascii="Times New Roman" w:hAnsi="Times New Roman" w:cs="Times New Roman"/>
          <w:sz w:val="24"/>
          <w:szCs w:val="24"/>
        </w:rPr>
      </w:pPr>
      <w:r w:rsidRPr="00921F69">
        <w:rPr>
          <w:rFonts w:ascii="Times New Roman" w:hAnsi="Times New Roman" w:cs="Times New Roman"/>
          <w:sz w:val="24"/>
          <w:szCs w:val="24"/>
        </w:rPr>
        <w:t>U 2024. godini planirano je 2.420.100 EUR, od čega se na sredstva iz Europskog fonda (izvor 575) odnosilo 1.640.000 EUR, a na nacionalno sufinanciranje (izvor 12) 780.100 EUR. Realizirano je 3.137.548 EUR od čega je izvršeno 2.527.022 EUR iz izvora 575 te 610.526 EUR iz izvora 12. Utrošena sredstva odnose se na troškove plaća voditelja i članova projektnog tima u iznosu od 58.693.23 EUR koji se financiraju iz izvora 575. Tijekom 2024. godine obavljalo se istraživanje tržišta s ciljem utvrđivanja realnih cijena opreme koja se nabavlja u oba radna paketa (dekontaminacija infrastrukture, građevina i vozila i dekontaminacija opreme i kritičnih dokaza). Provedena je isporuka nadograđena 3 robota MVFD 5 u vrijednosti 1.771.754 EUR, a plaćeno je 1.417.403 EUR iz izvora 575 i 354.351 EUR iz izvora 12. Nabavljena su 3 terenska vozila, 3 autocisterne za dekontaminaciju i 3 kamiona s dizalicom u ukupnoj vrijednosti od 2.527.500 EUR, iz izvora 575 financirano je 2.022.000 EUR i 505.500 EUR iz izvora 12. Nabavljena su 24 KBRN zaštitna odijela s izolirajućim sustavom za distribuciju zraka za dekontaminaciju u vrijednosti 245.166 EUR, plaćeno je 196.133 EUR iz izvora 575, a 49.033 EUR iz izvora 12. Izrađene su operativno tehničke karakteristike i poslan Zahtjev za nabavu za 3 robota za dekontaminaciju i 3 robota za sakupljanje kontaminirane prašine ili emulzije s horizontalnih površina. Priprema se zadnja verzija Standardnog operativnog postupka i obrasca s opisnim karakteristikama KBRN modula (Fact Sheet). Provedena je temeljna KBRN obuka za djelatnike RCZ-a.</w:t>
      </w:r>
    </w:p>
    <w:p w:rsidR="00C97636" w:rsidRPr="00921F69" w:rsidRDefault="00C97636" w:rsidP="00C97636">
      <w:pPr>
        <w:spacing w:line="276" w:lineRule="auto"/>
        <w:jc w:val="both"/>
        <w:rPr>
          <w:rFonts w:ascii="Times New Roman" w:hAnsi="Times New Roman" w:cs="Times New Roman"/>
          <w:b/>
          <w:sz w:val="24"/>
          <w:szCs w:val="24"/>
        </w:rPr>
      </w:pPr>
      <w:r w:rsidRPr="00921F69">
        <w:rPr>
          <w:rFonts w:ascii="Times New Roman" w:hAnsi="Times New Roman" w:cs="Times New Roman"/>
          <w:b/>
          <w:sz w:val="24"/>
          <w:szCs w:val="24"/>
        </w:rPr>
        <w:t>K863028 IZGRADNJA STRATEŠKIH ZALIHA ZA ODGOVOR NA KBRN KRIZE</w:t>
      </w:r>
    </w:p>
    <w:p w:rsidR="00C97636" w:rsidRPr="00921F69" w:rsidRDefault="00C97636" w:rsidP="00C97636">
      <w:pPr>
        <w:spacing w:line="360" w:lineRule="auto"/>
        <w:ind w:firstLine="708"/>
        <w:jc w:val="both"/>
        <w:rPr>
          <w:rFonts w:ascii="Times New Roman" w:hAnsi="Times New Roman" w:cs="Times New Roman"/>
          <w:sz w:val="24"/>
          <w:szCs w:val="24"/>
        </w:rPr>
      </w:pPr>
      <w:r w:rsidRPr="00921F69">
        <w:rPr>
          <w:rFonts w:ascii="Times New Roman" w:hAnsi="Times New Roman" w:cs="Times New Roman"/>
          <w:sz w:val="24"/>
          <w:szCs w:val="24"/>
        </w:rPr>
        <w:t xml:space="preserve">Financijsko planiranje bilo je jedan od prioriteta te su pravovremeno izrađeni Aneksi Ugovora kako bi se optimizirala raspodjela sredstava. Ova fleksibilnost omogućila je efikasnije upravljanje financijama i prilagodbu stvarnim potrebama projekta. </w:t>
      </w:r>
    </w:p>
    <w:p w:rsidR="00C97636" w:rsidRPr="00921F69" w:rsidRDefault="00C97636" w:rsidP="00C97636">
      <w:pPr>
        <w:spacing w:line="360" w:lineRule="auto"/>
        <w:ind w:firstLine="708"/>
        <w:jc w:val="both"/>
        <w:rPr>
          <w:rFonts w:ascii="Times New Roman" w:hAnsi="Times New Roman" w:cs="Times New Roman"/>
          <w:sz w:val="24"/>
          <w:szCs w:val="24"/>
        </w:rPr>
      </w:pPr>
      <w:r w:rsidRPr="00921F69">
        <w:rPr>
          <w:rFonts w:ascii="Times New Roman" w:hAnsi="Times New Roman" w:cs="Times New Roman"/>
          <w:sz w:val="24"/>
          <w:szCs w:val="24"/>
        </w:rPr>
        <w:t xml:space="preserve">U 2024. godini ukupno su planirana sredstva u iznosu od 1.407.700 EUR od čega je na izvoru 575 planirano 1.160.000 EUR, dok je na izvoru 12 planirano 247.700 EUR. Plaćanja su u 2024. godini iznosila 218.131 EUR od čega je 217.131 EUR plaćeno s izvora 575, a 1.000 EUR je plaćeno s izvora 12. Utrošena sredstva najvećim dijelom odnose se na troškove plaća voditelja i članova projektnog tima (iznos od 83.768 EUR, plaćeno iz izvora 575) te na troškove intelektualne i osobne usluge (iznos od 129.363 EUR, plaćeno iz izvora 575). Aktivnosti u 2024. godini: - pokretanje postupaka nabave projektne opreme i izrada tehničkih specifikacija, te je započeta nabava zaštitne opreme. Pokrenut je natječaj za izradu projektne dokumentacije </w:t>
      </w:r>
      <w:r w:rsidRPr="00921F69">
        <w:rPr>
          <w:rFonts w:ascii="Times New Roman" w:hAnsi="Times New Roman" w:cs="Times New Roman"/>
          <w:sz w:val="24"/>
          <w:szCs w:val="24"/>
        </w:rPr>
        <w:lastRenderedPageBreak/>
        <w:t>za uređenje skladišta za skladištenje opreme. Tvrtka CAPITAL ING d.o.o. ugovorena je za taj zadatak te je dostavila prvu verziju dokumentacije. -suradnja s Europskom komisijom i međunarodnim partnerima dodatno je ojačana sudjelovanjem na radionicama i sastancima, uključujući rescEU CBRN radionicu u Bruxellesu. Kroz projekt su planirana sredstva za uredski materijal i ostale materijalne rashode 13.500.000 eur / 73,2%, uređaje, strojeve i opremu za ostale namjene 3.500.000 eur / 19% i dodatna ulaganja na građevinskim objektima 877.000 eur / 4,8% te se ostali troškovi odnose na plaće, intelektualne i osobne usluge i uredsku opremu i namještaj. U slijedećoj godini veća ulaganja planirana su za uredski materijal i ostale materijalne rashode i uređaje, strojeve i opremu za ostale namjene.</w:t>
      </w:r>
    </w:p>
    <w:p w:rsidR="00EA02FA" w:rsidRPr="00921F69" w:rsidRDefault="00EA02FA" w:rsidP="00EA02FA">
      <w:pPr>
        <w:spacing w:line="276" w:lineRule="auto"/>
        <w:jc w:val="both"/>
        <w:rPr>
          <w:rFonts w:ascii="Times New Roman" w:hAnsi="Times New Roman" w:cs="Times New Roman"/>
          <w:b/>
          <w:sz w:val="24"/>
          <w:szCs w:val="24"/>
        </w:rPr>
      </w:pPr>
      <w:r w:rsidRPr="00921F69">
        <w:rPr>
          <w:rFonts w:ascii="Times New Roman" w:hAnsi="Times New Roman" w:cs="Times New Roman"/>
          <w:b/>
          <w:sz w:val="24"/>
          <w:szCs w:val="24"/>
        </w:rPr>
        <w:t>K879018 FOND ZA UNUTARNJU SIGURNOST – INSTRUMENT ZA GRANICE I VIZE – IZRAVNA DODJELA</w:t>
      </w:r>
    </w:p>
    <w:p w:rsidR="004144F4" w:rsidRPr="00921F69" w:rsidRDefault="00F92570" w:rsidP="00F92570">
      <w:pPr>
        <w:spacing w:line="360" w:lineRule="auto"/>
        <w:ind w:firstLine="708"/>
        <w:jc w:val="both"/>
        <w:rPr>
          <w:rFonts w:ascii="Times New Roman" w:hAnsi="Times New Roman" w:cs="Times New Roman"/>
          <w:sz w:val="24"/>
          <w:szCs w:val="24"/>
        </w:rPr>
      </w:pPr>
      <w:r w:rsidRPr="00921F69">
        <w:rPr>
          <w:rFonts w:ascii="Times New Roman" w:hAnsi="Times New Roman" w:cs="Times New Roman"/>
          <w:sz w:val="24"/>
          <w:szCs w:val="24"/>
        </w:rPr>
        <w:t xml:space="preserve">Projekt je otvoren u 2021. godini sa ciljem podizanja razine zaštite vanjske granice Europske unije. U okviru potprojekta Specific Actions 10% je iznosilo sufinanciranje iz izvora 12 Sredstva učešća za pomoći te 90% iz izvora 575 Fondovi za unutarnje poslove. Na osnovi Pisma Europske komisije, DG HOME, Ares(2020)2601765 od 18. svibnja 2020. godine, Europska komisija je MUP-u dodijelila 12.800.000,00 eur-a EU sredstava za projekt "Tehničko opremanje vanjske granice Europske unije u svrhu zaštite i nadzora" putem Specific Actions - Fonda za unutarnju sigurnost, Instrumenta za granice i vize. Ukupna vrijednost potprojekta Specific Actions iznosi 14.220.000 EUR-a od čega je 10% iznosilo sufinanciranje te 90% EU sredstava. Kroz potprojekt Specific Actions izvršeno je tehničko opremanje granične policije zbog povećanog migracijskog pritiska. </w:t>
      </w:r>
    </w:p>
    <w:p w:rsidR="00437DF9" w:rsidRPr="00921F69" w:rsidRDefault="00F92570" w:rsidP="004E3A95">
      <w:pPr>
        <w:spacing w:line="360" w:lineRule="auto"/>
        <w:ind w:firstLine="708"/>
        <w:jc w:val="both"/>
        <w:rPr>
          <w:rFonts w:ascii="Times New Roman" w:hAnsi="Times New Roman" w:cs="Times New Roman"/>
          <w:sz w:val="24"/>
          <w:szCs w:val="24"/>
        </w:rPr>
      </w:pPr>
      <w:r w:rsidRPr="00921F69">
        <w:rPr>
          <w:rFonts w:ascii="Times New Roman" w:hAnsi="Times New Roman" w:cs="Times New Roman"/>
          <w:sz w:val="24"/>
          <w:szCs w:val="24"/>
        </w:rPr>
        <w:t>U 2024. godini ukupno su planirana financijska sredstva u iznosu od 8.239.000 EUR, od čega na Izvoru 12 Sredstva učešća za pomoći u iznosu od 825.000 EUR i na Izvoru 575 Fondovi za unutarnje poslove 7.414.000 EUR. Ukupno plaćanje u 2024. godini je iznosilo 8.237.655 EUR, od čega je na Izvoru 12 izvršeno plaćanje u iznosu od 823.765 te na Izvoru 575 iznos od 7.413.890 EUR. Kroz predmetni projekt su nabavljena 2 plovila tip CPB - Coastal Patrol Boat za koje je u 2024. godini izvršeno završno plaćanje. Sa isporukom predmetna dva plovila izvršena je realizacija potprojekta Specific Actions.</w:t>
      </w:r>
    </w:p>
    <w:p w:rsidR="00031572" w:rsidRPr="00921F69" w:rsidRDefault="005D1E2F" w:rsidP="00C92404">
      <w:pPr>
        <w:rPr>
          <w:rFonts w:ascii="Times New Roman" w:hAnsi="Times New Roman" w:cs="Times New Roman"/>
          <w:b/>
          <w:sz w:val="24"/>
          <w:szCs w:val="24"/>
        </w:rPr>
      </w:pPr>
      <w:r w:rsidRPr="00921F69">
        <w:rPr>
          <w:rFonts w:ascii="Times New Roman" w:hAnsi="Times New Roman" w:cs="Times New Roman"/>
          <w:b/>
          <w:sz w:val="24"/>
          <w:szCs w:val="24"/>
        </w:rPr>
        <w:t xml:space="preserve">K879022 </w:t>
      </w:r>
      <w:r w:rsidR="00C92404" w:rsidRPr="00921F69">
        <w:rPr>
          <w:rFonts w:ascii="Times New Roman" w:hAnsi="Times New Roman" w:cs="Times New Roman"/>
          <w:b/>
          <w:sz w:val="24"/>
          <w:szCs w:val="24"/>
        </w:rPr>
        <w:t>FOND ZA UNUTARNJU SIGURNOST 2021.-2027.</w:t>
      </w:r>
    </w:p>
    <w:p w:rsidR="005D1E2F" w:rsidRPr="00921F69" w:rsidRDefault="00C92404" w:rsidP="00C92404">
      <w:pPr>
        <w:spacing w:line="360" w:lineRule="auto"/>
        <w:ind w:firstLine="708"/>
        <w:jc w:val="both"/>
        <w:rPr>
          <w:rFonts w:ascii="Times New Roman" w:hAnsi="Times New Roman" w:cs="Times New Roman"/>
          <w:sz w:val="24"/>
          <w:szCs w:val="24"/>
        </w:rPr>
      </w:pPr>
      <w:r w:rsidRPr="00921F69">
        <w:rPr>
          <w:rFonts w:ascii="Times New Roman" w:hAnsi="Times New Roman" w:cs="Times New Roman"/>
          <w:sz w:val="24"/>
          <w:szCs w:val="24"/>
        </w:rPr>
        <w:t xml:space="preserve">Projekt je otvoren u 2023. godini sa ciljem doprinosa osiguravanju visoke razine sigurnosti u Uniji, osobito sprečavanjem i suzbijanjem terorizma i radikalizacije, teškog i organiziranog kriminala te cyberkriminaliteta, pomaganjem žrtvama kriminala i njihovom zaštitom, kao i pripremom za incidente, rizike i krize povezane sa sigurnošću, zaštitom od njih </w:t>
      </w:r>
      <w:r w:rsidRPr="00921F69">
        <w:rPr>
          <w:rFonts w:ascii="Times New Roman" w:hAnsi="Times New Roman" w:cs="Times New Roman"/>
          <w:sz w:val="24"/>
          <w:szCs w:val="24"/>
        </w:rPr>
        <w:lastRenderedPageBreak/>
        <w:t xml:space="preserve">te učinkovitim upravljanjem njima. Iz proračuna Unije za ovu komponentu Fonda za unutarnju sigurnost, za nacionalni program za Republiku Hrvatsku dodijeljeno je 35.730.549 EUR (Izvor 575 Fondovi za unutarnje poslove) za financijski okvir od 2021. do 2027. godine. </w:t>
      </w:r>
    </w:p>
    <w:p w:rsidR="00C92404" w:rsidRPr="00921F69" w:rsidRDefault="00C92404" w:rsidP="004E3A95">
      <w:pPr>
        <w:spacing w:line="360" w:lineRule="auto"/>
        <w:ind w:firstLine="708"/>
        <w:jc w:val="both"/>
        <w:rPr>
          <w:rFonts w:ascii="Times New Roman" w:hAnsi="Times New Roman" w:cs="Times New Roman"/>
          <w:sz w:val="24"/>
          <w:szCs w:val="24"/>
        </w:rPr>
      </w:pPr>
      <w:r w:rsidRPr="00921F69">
        <w:rPr>
          <w:rFonts w:ascii="Times New Roman" w:hAnsi="Times New Roman" w:cs="Times New Roman"/>
          <w:sz w:val="24"/>
          <w:szCs w:val="24"/>
        </w:rPr>
        <w:t>U 2024. godini planirana su financijska sredstva u ukupnom iznosu od 1.715.100 EUR od čega na 675.500 EUR na Izvoru 12 sredstva učešća za pomoći i 1.039.600 EUR na izvoru 575 Fondovi za unutarnje poslove. Plaćanje u 2024. godini na izvoru 12 iznosi 131.260 EUR i na Izvoru 575 1.703.387 EUR. Prema ugovorenim sporazumima o izravnoj dodjeli financijskih sredstava izvršena su plaćanja za projekte: Podizanje razine osposobljenosti Protueksplozijske službe kroz specijaliziranu obuku, radionice, seminare, i razmjenu najbolje prakse - PROSPERITAS, Jačanje koordinacije, suradnje i aktivnosti za suzbijanje krijumčarenja migranata, Osnaživanje procesa i uređenje sustava PNR - OPUS PNR, Digitalna forenzika za kibrernetički kriminalitet - DiForCC, Jačanje kapaciteta Službe posebnih kriminalističkih poslova kroz specijalizirane edukacije (EDUSCA), Održavanje PNR sustava - OPNRS, Održavanje sustava za automatsko prepoznavanje registarskih pločica - ANPR, Održavanje softwarea - PhoneLog, Održavanje sustava za prikupljanje, obradu, analizu i razmjenu podataka i Napredna radionica borbeno-taktičkog pucanja za pripadnike specijalnih intervencijskih jedinica - ACTS WORKSHOP.</w:t>
      </w:r>
    </w:p>
    <w:p w:rsidR="00382E26" w:rsidRPr="00921F69" w:rsidRDefault="009B24AD" w:rsidP="003B7CB1">
      <w:pPr>
        <w:spacing w:line="360" w:lineRule="auto"/>
        <w:jc w:val="both"/>
        <w:rPr>
          <w:rFonts w:ascii="Times New Roman" w:hAnsi="Times New Roman" w:cs="Times New Roman"/>
          <w:b/>
          <w:sz w:val="24"/>
          <w:szCs w:val="24"/>
        </w:rPr>
      </w:pPr>
      <w:r w:rsidRPr="00921F69">
        <w:rPr>
          <w:rFonts w:ascii="Times New Roman" w:hAnsi="Times New Roman" w:cs="Times New Roman"/>
          <w:b/>
          <w:sz w:val="24"/>
          <w:szCs w:val="24"/>
        </w:rPr>
        <w:t xml:space="preserve">K879023 </w:t>
      </w:r>
      <w:r w:rsidR="003B7CB1" w:rsidRPr="00921F69">
        <w:rPr>
          <w:rFonts w:ascii="Times New Roman" w:hAnsi="Times New Roman" w:cs="Times New Roman"/>
          <w:b/>
          <w:sz w:val="24"/>
          <w:szCs w:val="24"/>
        </w:rPr>
        <w:t>FOND ZA AZIL, MIGRACIJE I INTEGRACIJU 2021.-2027.</w:t>
      </w:r>
    </w:p>
    <w:p w:rsidR="001C4F57" w:rsidRPr="00921F69" w:rsidRDefault="003B7CB1" w:rsidP="003B7CB1">
      <w:pPr>
        <w:spacing w:line="360" w:lineRule="auto"/>
        <w:ind w:firstLine="708"/>
        <w:jc w:val="both"/>
        <w:rPr>
          <w:rFonts w:ascii="Times New Roman" w:hAnsi="Times New Roman" w:cs="Times New Roman"/>
          <w:sz w:val="24"/>
          <w:szCs w:val="24"/>
        </w:rPr>
      </w:pPr>
      <w:r w:rsidRPr="00921F69">
        <w:rPr>
          <w:rFonts w:ascii="Times New Roman" w:hAnsi="Times New Roman" w:cs="Times New Roman"/>
          <w:sz w:val="24"/>
          <w:szCs w:val="24"/>
        </w:rPr>
        <w:t xml:space="preserve">Projekt je otvoren u 2023. godini sa ciljem učinkovitog upravljanja migracijskim tokovima, jačanja i razvoja zajedničke politike azila i zajedničke politike useljavanja, u skladu s relevantnom pravnom stečevinom Europske unije i uz potpuno poštovanje međunarodnih obveza Unije i država članica koje proizlaze iz međunarodnih instrumenata čije su stranke. Iz proračuna Unije za Fond azil i migracije, za nacionalni program za Republiku Hrvatsku dodijeljeno je 47.687.335 EUR (Izvor 575 Fondovi za unutarnje poslove) za financijski okvir od 2021. do 2027. godine. </w:t>
      </w:r>
    </w:p>
    <w:p w:rsidR="003B7CB1" w:rsidRPr="00921F69" w:rsidRDefault="003B7CB1" w:rsidP="003B7CB1">
      <w:pPr>
        <w:spacing w:line="360" w:lineRule="auto"/>
        <w:ind w:firstLine="708"/>
        <w:jc w:val="both"/>
        <w:rPr>
          <w:rFonts w:ascii="Times New Roman" w:hAnsi="Times New Roman" w:cs="Times New Roman"/>
          <w:sz w:val="24"/>
          <w:szCs w:val="24"/>
        </w:rPr>
      </w:pPr>
      <w:r w:rsidRPr="00921F69">
        <w:rPr>
          <w:rFonts w:ascii="Times New Roman" w:hAnsi="Times New Roman" w:cs="Times New Roman"/>
          <w:sz w:val="24"/>
          <w:szCs w:val="24"/>
        </w:rPr>
        <w:t xml:space="preserve">U 2024. godini ukupno su planirana financijska sredstva u iznosu od 2.063.000 EUR, od čega na izvoru 12 Sredstva učešća za pomoći u iznosu od 1.048.000 EUR i na izvoru 575 Fondovi za unutarnje poslove u iznosu od 1.015.000 EUR. Plaćanje u 2024. godini na izvoru 12 iznosi 636.024 EUR i na izvoru 575 3.415.404 EUR. Prema ugovorenim sporazumima o izravnoj dodjeli financijskih sredstava izvršena su plaćanja za projekte: Razvoj EOS sustava, Održavanje EOS sustava, Siguran povratak - vraćanje državljana trećih zemalja iz Prihvatnog centra za strance, Prevođenje i besplatna pravna pomoć u postupku povratka, Potpora u financiranju troškova smještaja i boravka stranaca u Prihvatnom centru za strance, Pružanje </w:t>
      </w:r>
      <w:r w:rsidRPr="00921F69">
        <w:rPr>
          <w:rFonts w:ascii="Times New Roman" w:hAnsi="Times New Roman" w:cs="Times New Roman"/>
          <w:sz w:val="24"/>
          <w:szCs w:val="24"/>
        </w:rPr>
        <w:lastRenderedPageBreak/>
        <w:t>psihosocijalne podrške i usluga tražiteljima međunarodne zaštite, Besplatna pravna pomoć u postupku odobrenja međunarodne zaštite, Prevođenje u poslovima međunarodne zaštite, prihvata i smještaja tražitelja međunarodne zaštite, Osiguranje prehrane za tražitelje međunarodne zaštite smještene u prihvatilištima za tražitelje međunarodne zaštite te Service and security - SAS.</w:t>
      </w:r>
    </w:p>
    <w:p w:rsidR="00031572" w:rsidRPr="00921F69" w:rsidRDefault="00031572" w:rsidP="00031572">
      <w:pPr>
        <w:spacing w:line="276" w:lineRule="auto"/>
        <w:jc w:val="both"/>
        <w:rPr>
          <w:rFonts w:ascii="Times New Roman" w:hAnsi="Times New Roman" w:cs="Times New Roman"/>
          <w:b/>
          <w:sz w:val="24"/>
          <w:szCs w:val="24"/>
        </w:rPr>
      </w:pPr>
      <w:r w:rsidRPr="00921F69">
        <w:rPr>
          <w:rFonts w:ascii="Times New Roman" w:hAnsi="Times New Roman" w:cs="Times New Roman"/>
          <w:b/>
          <w:sz w:val="24"/>
          <w:szCs w:val="24"/>
        </w:rPr>
        <w:t>K879028 RAZVOJ I ODRŽAVANJE MODULA ZA ZBRINJAVANJE-SHELTER</w:t>
      </w:r>
    </w:p>
    <w:p w:rsidR="00204977" w:rsidRPr="00921F69" w:rsidRDefault="00204977" w:rsidP="00204977">
      <w:pPr>
        <w:spacing w:line="360" w:lineRule="auto"/>
        <w:ind w:firstLine="708"/>
        <w:jc w:val="both"/>
        <w:rPr>
          <w:rFonts w:ascii="Times New Roman" w:hAnsi="Times New Roman" w:cs="Times New Roman"/>
          <w:sz w:val="24"/>
          <w:szCs w:val="24"/>
        </w:rPr>
      </w:pPr>
      <w:r w:rsidRPr="00921F69">
        <w:rPr>
          <w:rFonts w:ascii="Times New Roman" w:hAnsi="Times New Roman" w:cs="Times New Roman"/>
          <w:sz w:val="24"/>
          <w:szCs w:val="24"/>
        </w:rPr>
        <w:t xml:space="preserve">Projektne aktivnosti započele su 01.02.2023. godine i trajat će do 31.07.2026. godine (42 mjeseca). Ukupna vrijednost projekta je 24.481.334,39 EUR od čega Europska komisija osigurava bespovratna sredstva u iznosu od 19.751.053,14 EUR iz izvora 575 Fondovi za unutarnje poslove (prihvatljivo je 100% iznosa troškova, osim iznosa PDV-a), dok MUP u proračunu osigurava za plaćanje PDV-a iznos 4.730.281,25 EUR iz izvora 12 Sredstva učešća za pomoći (sufinanciranje). </w:t>
      </w:r>
    </w:p>
    <w:p w:rsidR="006A0E32" w:rsidRDefault="00204977" w:rsidP="00204977">
      <w:pPr>
        <w:spacing w:line="360" w:lineRule="auto"/>
        <w:ind w:firstLine="708"/>
        <w:jc w:val="both"/>
        <w:rPr>
          <w:rFonts w:ascii="Times New Roman" w:hAnsi="Times New Roman" w:cs="Times New Roman"/>
          <w:sz w:val="24"/>
          <w:szCs w:val="24"/>
        </w:rPr>
      </w:pPr>
      <w:r w:rsidRPr="00921F69">
        <w:rPr>
          <w:rFonts w:ascii="Times New Roman" w:hAnsi="Times New Roman" w:cs="Times New Roman"/>
          <w:sz w:val="24"/>
          <w:szCs w:val="24"/>
        </w:rPr>
        <w:t>U 2024. godini ukupno su planirana sredstva u iznosu od 1.046.500 EUR od čega je na izvoru 575 planirano 774.000 EUR, dok je na izvoru 12 planirano 272.500 EUR. Plaćanja su u 2024. godini iznosila 233.512 EUR od čega je 232.423 EUR plaćeno s izvora 575, a 1.089 EUR je plaćeno s izvora 12. Aktivnosti u 2024. godini: - pokrenut je postupak nabave projektne opreme i izrada tehničkih specifikacija. - planirana projektna oprema je prezentirana na rescEU SHELTER radionici u Bruxellesu. - pokrenut je natječaj za izradu projektne dokumentacije za uređenje skladišta za skladištenje opreme. Tvrtka CAPITAL ING d.o.o. ugovorena je za taj zadatak te je dostavila prvu verziju dokumentacije. Utrošena sredstva najvećim dijelom odnose se na troškove plaća voditelja i članova projektnog tima (iznos od 119.330.86 EUR, plaćeno iz izvora 575) te na troškove intelektualne i osobne usluge (iznos od 106.778 EUR, plaćeno iz izvora 575).</w:t>
      </w:r>
    </w:p>
    <w:p w:rsidR="00283C0C" w:rsidRPr="00921F69" w:rsidRDefault="00283C0C" w:rsidP="00204977">
      <w:pPr>
        <w:spacing w:line="360" w:lineRule="auto"/>
        <w:ind w:firstLine="708"/>
        <w:jc w:val="both"/>
        <w:rPr>
          <w:rFonts w:ascii="Times New Roman" w:hAnsi="Times New Roman" w:cs="Times New Roman"/>
          <w:sz w:val="24"/>
          <w:szCs w:val="24"/>
        </w:rPr>
      </w:pPr>
    </w:p>
    <w:p w:rsidR="00FD1BD6" w:rsidRPr="00921F69" w:rsidRDefault="00FD1BD6" w:rsidP="00FD1BD6">
      <w:pPr>
        <w:rPr>
          <w:rFonts w:ascii="Times New Roman" w:hAnsi="Times New Roman" w:cs="Times New Roman"/>
          <w:b/>
          <w:sz w:val="24"/>
          <w:szCs w:val="24"/>
        </w:rPr>
      </w:pPr>
      <w:r w:rsidRPr="00921F69">
        <w:rPr>
          <w:rFonts w:ascii="Times New Roman" w:hAnsi="Times New Roman" w:cs="Times New Roman"/>
          <w:b/>
          <w:sz w:val="24"/>
          <w:szCs w:val="24"/>
        </w:rPr>
        <w:t>T863031 FONDOVI ZA UNUTARNJE POSLOVE 2021.-2027. - TEHNIČKA POMOĆ</w:t>
      </w:r>
    </w:p>
    <w:p w:rsidR="00FD1BD6" w:rsidRPr="00921F69" w:rsidRDefault="00FD1BD6" w:rsidP="00FD1BD6">
      <w:pPr>
        <w:spacing w:line="360" w:lineRule="auto"/>
        <w:ind w:firstLine="708"/>
        <w:jc w:val="both"/>
        <w:rPr>
          <w:rFonts w:ascii="Times New Roman" w:hAnsi="Times New Roman" w:cs="Times New Roman"/>
          <w:sz w:val="24"/>
          <w:szCs w:val="24"/>
        </w:rPr>
      </w:pPr>
      <w:r w:rsidRPr="00921F69">
        <w:rPr>
          <w:rFonts w:ascii="Times New Roman" w:hAnsi="Times New Roman" w:cs="Times New Roman"/>
          <w:sz w:val="24"/>
          <w:szCs w:val="24"/>
        </w:rPr>
        <w:t xml:space="preserve">Projekt je otvoren u 2023. godini, i okviru kojeg pratimo troškove tehničke pomoći iz Fonda za azil, migracije i integraciju, Fonda za unutarnju sigurnost i Fonda za integrirano upravljanje granicama, Instrumenta za financijsku potporu u području upravljanja granicama i vizne politike za razdoblje 2021.-2027. Kod tehničke pomoći nema sufinanciranja te se sva plaćanja izvršavaju sa izvora 575 Fondovi za unutarnje poslove. </w:t>
      </w:r>
    </w:p>
    <w:p w:rsidR="00D372C4" w:rsidRPr="00921F69" w:rsidRDefault="00FD1BD6" w:rsidP="00BA3623">
      <w:pPr>
        <w:spacing w:line="360" w:lineRule="auto"/>
        <w:ind w:firstLine="708"/>
        <w:jc w:val="both"/>
        <w:rPr>
          <w:rFonts w:ascii="Times New Roman" w:hAnsi="Times New Roman" w:cs="Times New Roman"/>
          <w:sz w:val="24"/>
          <w:szCs w:val="24"/>
        </w:rPr>
      </w:pPr>
      <w:r w:rsidRPr="00921F69">
        <w:rPr>
          <w:rFonts w:ascii="Times New Roman" w:hAnsi="Times New Roman" w:cs="Times New Roman"/>
          <w:sz w:val="24"/>
          <w:szCs w:val="24"/>
        </w:rPr>
        <w:t xml:space="preserve">U 2024. godini na izvoru 575 planirana su financijska sredstva u iznosu od 1.923.000 EUR, a plaćanje je izvršeno u iznosu od 1.375.876 EUR. Najveći dio troškova se odnosi na </w:t>
      </w:r>
      <w:r w:rsidRPr="00921F69">
        <w:rPr>
          <w:rFonts w:ascii="Times New Roman" w:hAnsi="Times New Roman" w:cs="Times New Roman"/>
          <w:sz w:val="24"/>
          <w:szCs w:val="24"/>
        </w:rPr>
        <w:lastRenderedPageBreak/>
        <w:t>preknjiženje troškova radnih sati djelatnika Upravljačkog tijela i to u iznosu od 434.456 EUR, zatim troškovi djelatnika koji rade na ugovor o djelu u Upravljačkom tijelu iz tehničke pomoći u iznosu od 141.068 EUR, troškovi službenih putovanja djelatnika Upravljačkog tijela, troškovi reprezentacije u iznosu od 12.431 EUR, troškovi izrade i implementacije informatičkog sustava za Upravljačko tijelo te troškovi izvođenja radova i nadzora radova na uređenju konferencijske dvorane u ulici grada Vukovara 33, Zagreb, sjedište MUP-a.</w:t>
      </w:r>
    </w:p>
    <w:p w:rsidR="00031572" w:rsidRPr="00921F69" w:rsidRDefault="00031572" w:rsidP="00031572">
      <w:pPr>
        <w:spacing w:line="276" w:lineRule="auto"/>
        <w:jc w:val="both"/>
        <w:rPr>
          <w:rFonts w:ascii="Times New Roman" w:hAnsi="Times New Roman" w:cs="Times New Roman"/>
          <w:b/>
          <w:sz w:val="24"/>
          <w:szCs w:val="24"/>
        </w:rPr>
      </w:pPr>
      <w:r w:rsidRPr="00921F69">
        <w:rPr>
          <w:rFonts w:ascii="Times New Roman" w:hAnsi="Times New Roman" w:cs="Times New Roman"/>
          <w:b/>
          <w:sz w:val="24"/>
          <w:szCs w:val="24"/>
        </w:rPr>
        <w:t>T879006 AMIF – EUROPSKA MIGRACIJSKA MREŽA – NACIONALNA KONTAKT TOČKA</w:t>
      </w:r>
    </w:p>
    <w:p w:rsidR="00BA3623" w:rsidRPr="00921F69" w:rsidRDefault="00BA3623" w:rsidP="00BA3623">
      <w:pPr>
        <w:spacing w:line="360" w:lineRule="auto"/>
        <w:ind w:firstLine="708"/>
        <w:jc w:val="both"/>
        <w:rPr>
          <w:rFonts w:ascii="Times New Roman" w:hAnsi="Times New Roman" w:cs="Times New Roman"/>
          <w:sz w:val="24"/>
          <w:szCs w:val="24"/>
        </w:rPr>
      </w:pPr>
      <w:r w:rsidRPr="00921F69">
        <w:rPr>
          <w:rFonts w:ascii="Times New Roman" w:hAnsi="Times New Roman" w:cs="Times New Roman"/>
          <w:sz w:val="24"/>
          <w:szCs w:val="24"/>
        </w:rPr>
        <w:t xml:space="preserve">Projektne aktivnosti započele su 01.02.2023. godine i trajat će do 31.07.2026. godine (42 mjeseca). Ukupna vrijednost projekta je 24.481.334,39 EUR od čega Europska komisija osigurava bespovratna sredstva u iznosu od 19.751.053,14 EUR iz izvora 575 Fondovi za unutarnje poslove (prihvatljivo je 100% iznosa troškova, osim iznosa PDV-a), dok MUP u proračunu osigurava za plaćanje PDV-a iznos 4.730.281,25 EUR iz izvora 12 Sredstva učešća za pomoći (sufinanciranje). </w:t>
      </w:r>
    </w:p>
    <w:p w:rsidR="00C8008F" w:rsidRPr="00921F69" w:rsidRDefault="00BA3623" w:rsidP="00BA3623">
      <w:pPr>
        <w:spacing w:line="360" w:lineRule="auto"/>
        <w:ind w:firstLine="708"/>
        <w:jc w:val="both"/>
        <w:rPr>
          <w:rFonts w:ascii="Times New Roman" w:hAnsi="Times New Roman" w:cs="Times New Roman"/>
          <w:sz w:val="24"/>
          <w:szCs w:val="24"/>
        </w:rPr>
      </w:pPr>
      <w:r w:rsidRPr="00921F69">
        <w:rPr>
          <w:rFonts w:ascii="Times New Roman" w:hAnsi="Times New Roman" w:cs="Times New Roman"/>
          <w:sz w:val="24"/>
          <w:szCs w:val="24"/>
        </w:rPr>
        <w:t>U 2024. godini ukupno su planirana sredstva u iznosu od 1.046.500 EUR od čega je na izvoru 575 planirano 774.000 EUR, dok je na izvoru 12 planirano 272.500 EUR. Plaćanja su u 2024. godini iznosila 233.512 EUR od čega je 232.423 EUR plaćeno s izvora 575, a 1.089 EUR je plaćeno s izvora 12. Aktivnosti u 2024. godini: - pokrenut je postupak nabave projektne opreme i izrada tehničkih specifikacija. - planirana projektna oprema je prezentirana na rescEU SHELTER radionici u Bruxellesu. - pokrenut je natječaj za izradu projektne dokumentacije za uređenje skladišta za skladištenje opreme. Tvrtka CAPITAL ING d.o.o. ugovorena je za taj zadatak te je dostavila prvu verziju dokumentacije. Utrošena sredstva najvećim dijelom odnose se na troškove plaća voditelja i članova projektnog tima (iznos od 119.330.86 EUR, plaćeno iz izvora 575) te na troškove intelektualne i osobne usluge (iznos od 106.778 EUR, plaćeno iz izvora 575).</w:t>
      </w:r>
    </w:p>
    <w:p w:rsidR="00031572" w:rsidRPr="00921F69" w:rsidRDefault="00031572" w:rsidP="00031572">
      <w:pPr>
        <w:spacing w:line="276" w:lineRule="auto"/>
        <w:jc w:val="both"/>
        <w:rPr>
          <w:rFonts w:ascii="Times New Roman" w:hAnsi="Times New Roman" w:cs="Times New Roman"/>
          <w:b/>
          <w:sz w:val="24"/>
          <w:szCs w:val="24"/>
        </w:rPr>
      </w:pPr>
      <w:r w:rsidRPr="00921F69">
        <w:rPr>
          <w:rFonts w:ascii="Times New Roman" w:hAnsi="Times New Roman" w:cs="Times New Roman"/>
          <w:b/>
          <w:sz w:val="24"/>
          <w:szCs w:val="24"/>
        </w:rPr>
        <w:t>T879009 PRIJELAZNI RESCEU MEHANIZAM</w:t>
      </w:r>
    </w:p>
    <w:p w:rsidR="00FA5CF6" w:rsidRPr="00921F69" w:rsidRDefault="00FA5CF6" w:rsidP="00FA5CF6">
      <w:pPr>
        <w:spacing w:line="360" w:lineRule="auto"/>
        <w:ind w:firstLine="708"/>
        <w:jc w:val="both"/>
        <w:rPr>
          <w:rFonts w:ascii="Times New Roman" w:hAnsi="Times New Roman" w:cs="Times New Roman"/>
          <w:sz w:val="24"/>
          <w:szCs w:val="24"/>
        </w:rPr>
      </w:pPr>
      <w:r w:rsidRPr="00921F69">
        <w:rPr>
          <w:rFonts w:ascii="Times New Roman" w:hAnsi="Times New Roman" w:cs="Times New Roman"/>
          <w:sz w:val="24"/>
          <w:szCs w:val="24"/>
        </w:rPr>
        <w:t xml:space="preserve">Grant Agreement, Project 101173064 – rescEU 2024-Croatia-UCPM-2024-rescEU-Transition-IBA je potpisan 26.06.2024. godine na ukupan iznos od 2.401.200 EUR, od čega EU sredstva iznose 1.800.900 EUR (75%) te sufinanciranje iznosi 600.300 EUR. Prema Grantu razdoblje prihvatljivih izdataka je bilo od 15.06. do 14.11.2024. godine. Sredstva sufinanciranja je planirao i izvršio plaćanja MORH, a MUP je planirao samo EU sredstva. Iznos EU sredstva je MUP preknjižio u korist MORH-a, a na teret MUP-a putem naloga za preknjiženje. </w:t>
      </w:r>
    </w:p>
    <w:p w:rsidR="002F3023" w:rsidRPr="00921F69" w:rsidRDefault="00FA5CF6" w:rsidP="00BD3DA8">
      <w:pPr>
        <w:spacing w:line="360" w:lineRule="auto"/>
        <w:ind w:firstLine="708"/>
        <w:jc w:val="both"/>
        <w:rPr>
          <w:rFonts w:ascii="Times New Roman" w:hAnsi="Times New Roman" w:cs="Times New Roman"/>
          <w:sz w:val="24"/>
          <w:szCs w:val="24"/>
        </w:rPr>
      </w:pPr>
      <w:r w:rsidRPr="00921F69">
        <w:rPr>
          <w:rFonts w:ascii="Times New Roman" w:hAnsi="Times New Roman" w:cs="Times New Roman"/>
          <w:sz w:val="24"/>
          <w:szCs w:val="24"/>
        </w:rPr>
        <w:lastRenderedPageBreak/>
        <w:t>U 2024. godini ukupno su planirana financijska sredstva u iznosu od 1.537.000 EUR na izvoru 575 Fondovi za unutarnje poslove, dok plaćanje iznosi 923.192 EUR. Iz sredstava projekta su se sufinancirali troškovi Ministarstva obrane Republike Hrvatske za angažiranje dva kanadera po pozivu drugih EU zemalja koji su se uputili u svrhu gašenja požara. U 2024. godini su bila dva poziva od strane Makedonije i Grčke za upućivanje kanadera u svrhu pomaganja gašenja požara. U Makedoniji su kanaderi bili angažirani u razdoblju od 16.-21.07.2024. godine te u Grčkoj u razdoblju od 01. do 07. 10.2024. godine. Za ostalo vrijeme su bili prihvatljivi troškovi standby. To su troškovi goriva, usluga tekućeg i investicijskog održavanja za angažiranje dva kanadera kao i troškovi radnih sati djelatnika MORH-a (pilota kanadera i osoblja koji su logistička podrška) sukladno Ugovoru o dodjeli bespovratnih financijskih sredstava za prijavu kapaciteta u Prijelazni rescEU mehanizam.</w:t>
      </w:r>
    </w:p>
    <w:p w:rsidR="00BF0369" w:rsidRPr="00921F69" w:rsidRDefault="00BF0369" w:rsidP="00BD3DA8">
      <w:pPr>
        <w:spacing w:line="360" w:lineRule="auto"/>
        <w:jc w:val="both"/>
        <w:rPr>
          <w:rFonts w:ascii="Times New Roman" w:hAnsi="Times New Roman" w:cs="Times New Roman"/>
          <w:b/>
          <w:sz w:val="24"/>
          <w:szCs w:val="24"/>
        </w:rPr>
      </w:pPr>
    </w:p>
    <w:p w:rsidR="00BD3DA8" w:rsidRPr="00921F69" w:rsidRDefault="00BE2AE5" w:rsidP="00BD3DA8">
      <w:pPr>
        <w:spacing w:line="360" w:lineRule="auto"/>
        <w:jc w:val="both"/>
        <w:rPr>
          <w:rFonts w:ascii="Times New Roman" w:hAnsi="Times New Roman" w:cs="Times New Roman"/>
          <w:b/>
          <w:sz w:val="24"/>
          <w:szCs w:val="24"/>
        </w:rPr>
      </w:pPr>
      <w:r w:rsidRPr="00921F69">
        <w:rPr>
          <w:rFonts w:ascii="Times New Roman" w:hAnsi="Times New Roman" w:cs="Times New Roman"/>
          <w:b/>
          <w:sz w:val="24"/>
          <w:szCs w:val="24"/>
        </w:rPr>
        <w:t xml:space="preserve">MEHANIZAM ZA </w:t>
      </w:r>
      <w:r w:rsidR="009539A4" w:rsidRPr="00921F69">
        <w:rPr>
          <w:rFonts w:ascii="Times New Roman" w:hAnsi="Times New Roman" w:cs="Times New Roman"/>
          <w:b/>
          <w:sz w:val="24"/>
          <w:szCs w:val="24"/>
        </w:rPr>
        <w:t>OPORAV</w:t>
      </w:r>
      <w:r w:rsidRPr="00921F69">
        <w:rPr>
          <w:rFonts w:ascii="Times New Roman" w:hAnsi="Times New Roman" w:cs="Times New Roman"/>
          <w:b/>
          <w:sz w:val="24"/>
          <w:szCs w:val="24"/>
        </w:rPr>
        <w:t xml:space="preserve">AK I OTPORNOST </w:t>
      </w:r>
      <w:r w:rsidR="009539A4" w:rsidRPr="00921F69">
        <w:rPr>
          <w:rFonts w:ascii="Times New Roman" w:hAnsi="Times New Roman" w:cs="Times New Roman"/>
          <w:b/>
          <w:sz w:val="24"/>
          <w:szCs w:val="24"/>
        </w:rPr>
        <w:t>– IZVOR 581</w:t>
      </w:r>
    </w:p>
    <w:p w:rsidR="00BD3DA8" w:rsidRPr="00921F69" w:rsidRDefault="00BD3DA8" w:rsidP="00BD3DA8">
      <w:pPr>
        <w:spacing w:line="360" w:lineRule="auto"/>
        <w:jc w:val="both"/>
        <w:rPr>
          <w:rFonts w:ascii="Times New Roman" w:hAnsi="Times New Roman" w:cs="Times New Roman"/>
          <w:b/>
          <w:sz w:val="24"/>
          <w:szCs w:val="24"/>
        </w:rPr>
      </w:pPr>
    </w:p>
    <w:p w:rsidR="00BE2AE5" w:rsidRPr="00921F69" w:rsidRDefault="00BE2AE5" w:rsidP="00BD3DA8">
      <w:pPr>
        <w:spacing w:line="360" w:lineRule="auto"/>
        <w:jc w:val="both"/>
        <w:rPr>
          <w:rFonts w:ascii="Times New Roman" w:hAnsi="Times New Roman" w:cs="Times New Roman"/>
          <w:sz w:val="24"/>
          <w:szCs w:val="24"/>
        </w:rPr>
      </w:pPr>
      <w:r w:rsidRPr="00921F69">
        <w:rPr>
          <w:rFonts w:ascii="Times New Roman" w:hAnsi="Times New Roman" w:cs="Times New Roman"/>
          <w:b/>
          <w:sz w:val="24"/>
          <w:szCs w:val="24"/>
        </w:rPr>
        <w:t xml:space="preserve">K879020 PROJEKTI IZ NACIONALNOG PLANA OPORAVKA I OTPORNOSTI – MUP </w:t>
      </w:r>
      <w:r w:rsidR="00C30004" w:rsidRPr="00921F69">
        <w:rPr>
          <w:rFonts w:ascii="Times New Roman" w:hAnsi="Times New Roman" w:cs="Times New Roman"/>
          <w:b/>
          <w:sz w:val="24"/>
          <w:szCs w:val="24"/>
        </w:rPr>
        <w:t>–</w:t>
      </w:r>
      <w:r w:rsidRPr="00921F69">
        <w:rPr>
          <w:rFonts w:ascii="Times New Roman" w:hAnsi="Times New Roman" w:cs="Times New Roman"/>
          <w:b/>
          <w:sz w:val="24"/>
          <w:szCs w:val="24"/>
        </w:rPr>
        <w:t xml:space="preserve"> NPOO</w:t>
      </w:r>
      <w:r w:rsidR="00C30004" w:rsidRPr="00921F69">
        <w:rPr>
          <w:rFonts w:ascii="Times New Roman" w:hAnsi="Times New Roman" w:cs="Times New Roman"/>
          <w:b/>
          <w:sz w:val="24"/>
          <w:szCs w:val="24"/>
        </w:rPr>
        <w:t xml:space="preserve"> – C.2.3. I C.2.6.</w:t>
      </w:r>
    </w:p>
    <w:p w:rsidR="003F14F9" w:rsidRPr="00921F69" w:rsidRDefault="004769CD" w:rsidP="004769CD">
      <w:pPr>
        <w:spacing w:line="360" w:lineRule="auto"/>
        <w:ind w:firstLine="708"/>
        <w:jc w:val="both"/>
        <w:rPr>
          <w:rFonts w:ascii="Times New Roman" w:hAnsi="Times New Roman" w:cs="Times New Roman"/>
          <w:sz w:val="24"/>
          <w:szCs w:val="24"/>
        </w:rPr>
      </w:pPr>
      <w:r w:rsidRPr="00921F69">
        <w:rPr>
          <w:rFonts w:ascii="Times New Roman" w:hAnsi="Times New Roman" w:cs="Times New Roman"/>
          <w:sz w:val="24"/>
          <w:szCs w:val="24"/>
        </w:rPr>
        <w:t>Nakon donošenja Provedbene odluke Vijeća Europske komisije u srpnju 2021. godine, u rujnu 2021. je potpisan Financijski sporazum između Europske komisije i Republike Hrvatske. U Nacionalnom planu oporavka i otpornosti MUP je nominirao projekte iz dvije komponente: komponenta javna uprava, pravosuđe i državna imovina - digitalna tranzicija društva i gospodarstva - podrška postizanju ciljeva strategije sprječavanja korupcije i komponenta obrazovanje, znanost i istraživanje - reforma obrazovnog sustava. Projekt je započeo u 2022. godini kad su izvršena plaćanja u iznosu od 46.197 EUR sa izvora 581 Nacionalni plan oporavka i otpornosti. U 2023. godini su izvršena plaćanja u uku</w:t>
      </w:r>
      <w:r w:rsidR="003F14F9" w:rsidRPr="00921F69">
        <w:rPr>
          <w:rFonts w:ascii="Times New Roman" w:hAnsi="Times New Roman" w:cs="Times New Roman"/>
          <w:sz w:val="24"/>
          <w:szCs w:val="24"/>
        </w:rPr>
        <w:t>p</w:t>
      </w:r>
      <w:r w:rsidRPr="00921F69">
        <w:rPr>
          <w:rFonts w:ascii="Times New Roman" w:hAnsi="Times New Roman" w:cs="Times New Roman"/>
          <w:sz w:val="24"/>
          <w:szCs w:val="24"/>
        </w:rPr>
        <w:t>nom iznosu 2.544.0</w:t>
      </w:r>
      <w:r w:rsidR="003F14F9" w:rsidRPr="00921F69">
        <w:rPr>
          <w:rFonts w:ascii="Times New Roman" w:hAnsi="Times New Roman" w:cs="Times New Roman"/>
          <w:sz w:val="24"/>
          <w:szCs w:val="24"/>
        </w:rPr>
        <w:t>58 eur.</w:t>
      </w:r>
      <w:r w:rsidRPr="00921F69">
        <w:rPr>
          <w:rFonts w:ascii="Times New Roman" w:hAnsi="Times New Roman" w:cs="Times New Roman"/>
          <w:sz w:val="24"/>
          <w:szCs w:val="24"/>
        </w:rPr>
        <w:t xml:space="preserve"> U okviru predmetnog projekta pratili smo izvršavanje po dvije investicije: </w:t>
      </w:r>
    </w:p>
    <w:p w:rsidR="003F14F9" w:rsidRPr="00921F69" w:rsidRDefault="004769CD" w:rsidP="003F14F9">
      <w:pPr>
        <w:spacing w:line="360" w:lineRule="auto"/>
        <w:jc w:val="both"/>
        <w:rPr>
          <w:rFonts w:ascii="Times New Roman" w:hAnsi="Times New Roman" w:cs="Times New Roman"/>
          <w:sz w:val="24"/>
          <w:szCs w:val="24"/>
        </w:rPr>
      </w:pPr>
      <w:r w:rsidRPr="00921F69">
        <w:rPr>
          <w:rFonts w:ascii="Times New Roman" w:hAnsi="Times New Roman" w:cs="Times New Roman"/>
          <w:sz w:val="24"/>
          <w:szCs w:val="24"/>
        </w:rPr>
        <w:t xml:space="preserve">1. Investicija C.2.3 R.3. I2 „Jačanje kapaciteta policije za suzbijanje kibernetičkog kriminaliteta“. Vrijednost te investicije je 1.581.625 EUR. Rok dovršetka je četvrti kvartal 2024. godine. </w:t>
      </w:r>
      <w:r w:rsidR="003F14F9" w:rsidRPr="00921F69">
        <w:rPr>
          <w:rFonts w:ascii="Times New Roman" w:hAnsi="Times New Roman" w:cs="Times New Roman"/>
          <w:sz w:val="24"/>
          <w:szCs w:val="24"/>
        </w:rPr>
        <w:t>Za investiciju C.2.3 R.3. I2 su izvršena plaćanja u iznosu od 500.564 EUR za nabavu modula za edukaciju policijskih službenika za kibernetičku sigurnost i digitalnu forenziku, za forenziku tvrdih diskova i drugih medija, za linux forenziku, za phyton programiranje, za troškove obuke policijskih službenika (troškovi smještaja), upravljanje projektom i administracija provedbe projekta</w:t>
      </w:r>
      <w:r w:rsidR="00004A21" w:rsidRPr="00921F69">
        <w:rPr>
          <w:rFonts w:ascii="Times New Roman" w:hAnsi="Times New Roman" w:cs="Times New Roman"/>
          <w:sz w:val="24"/>
          <w:szCs w:val="24"/>
        </w:rPr>
        <w:t>.</w:t>
      </w:r>
    </w:p>
    <w:p w:rsidR="00235BD1" w:rsidRPr="00921F69" w:rsidRDefault="004769CD" w:rsidP="003F14F9">
      <w:pPr>
        <w:spacing w:line="360" w:lineRule="auto"/>
        <w:jc w:val="both"/>
        <w:rPr>
          <w:rFonts w:ascii="Times New Roman" w:hAnsi="Times New Roman" w:cs="Times New Roman"/>
          <w:sz w:val="24"/>
          <w:szCs w:val="24"/>
        </w:rPr>
      </w:pPr>
      <w:r w:rsidRPr="00921F69">
        <w:rPr>
          <w:rFonts w:ascii="Times New Roman" w:hAnsi="Times New Roman" w:cs="Times New Roman"/>
          <w:sz w:val="24"/>
          <w:szCs w:val="24"/>
        </w:rPr>
        <w:lastRenderedPageBreak/>
        <w:t>2. Investicija C.2.6. R1-I4 „Podrška učinkovitosti u suzbijanju korupcije i organiziranog kriminaliteta“. Za investiciju C.2.6. R1-I4 su izvršena plaćanja u iznosu od 2.043.494 EUR za nabavu informatičke, komunikacijske, uredske opreme i opreme za teretanu, izvođenje radova i nadzora radova na obnovi vanjske ovojnice i uređenju objekta zgrade u vojarni Lora Split za potrebe PNUSKOK-a Split i rekonstrukciji zgrade MUP-a „Senjak“ za potrebe PNUSKOK-a Zagreb.</w:t>
      </w:r>
    </w:p>
    <w:p w:rsidR="00BF0369" w:rsidRPr="00921F69" w:rsidRDefault="00BF0369" w:rsidP="003F14F9">
      <w:pPr>
        <w:spacing w:line="360" w:lineRule="auto"/>
        <w:jc w:val="both"/>
        <w:rPr>
          <w:rFonts w:ascii="Times New Roman" w:hAnsi="Times New Roman" w:cs="Times New Roman"/>
          <w:b/>
          <w:sz w:val="24"/>
          <w:szCs w:val="24"/>
        </w:rPr>
      </w:pPr>
    </w:p>
    <w:p w:rsidR="004C0FE6" w:rsidRPr="00921F69" w:rsidRDefault="009433B3" w:rsidP="003F14F9">
      <w:pPr>
        <w:spacing w:line="360" w:lineRule="auto"/>
        <w:jc w:val="both"/>
        <w:rPr>
          <w:rFonts w:ascii="Times New Roman" w:hAnsi="Times New Roman" w:cs="Times New Roman"/>
          <w:b/>
          <w:sz w:val="24"/>
          <w:szCs w:val="24"/>
        </w:rPr>
      </w:pPr>
      <w:r w:rsidRPr="00921F69">
        <w:rPr>
          <w:rFonts w:ascii="Times New Roman" w:hAnsi="Times New Roman" w:cs="Times New Roman"/>
          <w:b/>
          <w:sz w:val="24"/>
          <w:szCs w:val="24"/>
        </w:rPr>
        <w:t>NAMJENSKI PRIMICI – NPOO</w:t>
      </w:r>
      <w:r w:rsidR="00C30004" w:rsidRPr="00921F69">
        <w:rPr>
          <w:rFonts w:ascii="Times New Roman" w:hAnsi="Times New Roman" w:cs="Times New Roman"/>
          <w:b/>
          <w:sz w:val="24"/>
          <w:szCs w:val="24"/>
        </w:rPr>
        <w:t xml:space="preserve"> </w:t>
      </w:r>
      <w:r w:rsidR="00590D1D" w:rsidRPr="00921F69">
        <w:rPr>
          <w:rFonts w:ascii="Times New Roman" w:hAnsi="Times New Roman" w:cs="Times New Roman"/>
          <w:b/>
          <w:sz w:val="24"/>
          <w:szCs w:val="24"/>
        </w:rPr>
        <w:t xml:space="preserve">– IZVOR </w:t>
      </w:r>
      <w:r w:rsidR="00C30004" w:rsidRPr="00921F69">
        <w:rPr>
          <w:rFonts w:ascii="Times New Roman" w:hAnsi="Times New Roman" w:cs="Times New Roman"/>
          <w:b/>
          <w:sz w:val="24"/>
          <w:szCs w:val="24"/>
        </w:rPr>
        <w:t>81</w:t>
      </w:r>
      <w:r w:rsidR="00590D1D" w:rsidRPr="00921F69">
        <w:rPr>
          <w:rFonts w:ascii="Times New Roman" w:hAnsi="Times New Roman" w:cs="Times New Roman"/>
          <w:b/>
          <w:sz w:val="24"/>
          <w:szCs w:val="24"/>
        </w:rPr>
        <w:t>5</w:t>
      </w:r>
    </w:p>
    <w:p w:rsidR="009F359A" w:rsidRPr="00921F69" w:rsidRDefault="009F359A" w:rsidP="003F14F9">
      <w:pPr>
        <w:spacing w:line="360" w:lineRule="auto"/>
        <w:jc w:val="both"/>
        <w:rPr>
          <w:rFonts w:ascii="Times New Roman" w:hAnsi="Times New Roman" w:cs="Times New Roman"/>
          <w:sz w:val="24"/>
          <w:szCs w:val="24"/>
        </w:rPr>
      </w:pPr>
    </w:p>
    <w:p w:rsidR="00590D1D" w:rsidRPr="00921F69" w:rsidRDefault="00590D1D" w:rsidP="00590D1D">
      <w:pPr>
        <w:spacing w:line="360" w:lineRule="auto"/>
        <w:jc w:val="both"/>
        <w:rPr>
          <w:rFonts w:ascii="Times New Roman" w:hAnsi="Times New Roman" w:cs="Times New Roman"/>
          <w:sz w:val="24"/>
          <w:szCs w:val="24"/>
        </w:rPr>
      </w:pPr>
      <w:r w:rsidRPr="00921F69">
        <w:rPr>
          <w:rFonts w:ascii="Times New Roman" w:hAnsi="Times New Roman" w:cs="Times New Roman"/>
          <w:b/>
          <w:sz w:val="24"/>
          <w:szCs w:val="24"/>
        </w:rPr>
        <w:t>K879020 PROJEKTI IZ NACIONALNOG PLANA OPORAVKA I OTPORNOSTI – MUP – NPOO – C.2.3. I C.2.6.</w:t>
      </w:r>
    </w:p>
    <w:p w:rsidR="004C0FE6" w:rsidRPr="00921F69" w:rsidRDefault="00AE6372" w:rsidP="00C76380">
      <w:pPr>
        <w:spacing w:line="360" w:lineRule="auto"/>
        <w:ind w:firstLine="708"/>
        <w:jc w:val="both"/>
        <w:rPr>
          <w:rFonts w:ascii="Times New Roman" w:hAnsi="Times New Roman" w:cs="Times New Roman"/>
          <w:sz w:val="24"/>
          <w:szCs w:val="24"/>
        </w:rPr>
      </w:pPr>
      <w:r w:rsidRPr="00921F69">
        <w:rPr>
          <w:rFonts w:ascii="Times New Roman" w:hAnsi="Times New Roman" w:cs="Times New Roman"/>
          <w:sz w:val="24"/>
          <w:szCs w:val="24"/>
        </w:rPr>
        <w:t xml:space="preserve">U okviru predmetnog projekta na izvoru 815 Namjenski primici - NPOO izvršeno je plaćanje </w:t>
      </w:r>
      <w:r w:rsidR="00C76380" w:rsidRPr="00921F69">
        <w:rPr>
          <w:rFonts w:ascii="Times New Roman" w:hAnsi="Times New Roman" w:cs="Times New Roman"/>
          <w:sz w:val="24"/>
          <w:szCs w:val="24"/>
        </w:rPr>
        <w:t xml:space="preserve">u iznosu od 12.990.453 EUR za </w:t>
      </w:r>
      <w:r w:rsidRPr="00921F69">
        <w:rPr>
          <w:rFonts w:ascii="Times New Roman" w:hAnsi="Times New Roman" w:cs="Times New Roman"/>
          <w:sz w:val="24"/>
          <w:szCs w:val="24"/>
        </w:rPr>
        <w:t>izvođenja radova na energetskoj obnovi (izvođenja poboljšica) objekata MUP-a u Zagrebu oštećenih u zagrebačkom i petrinjskom potresu koji su zaštićeni kao kulturna baština (1. Policijska postaja na Štrosmajerovom trgu</w:t>
      </w:r>
      <w:r w:rsidR="00CB2ACC" w:rsidRPr="00921F69">
        <w:rPr>
          <w:rFonts w:ascii="Times New Roman" w:hAnsi="Times New Roman" w:cs="Times New Roman"/>
          <w:sz w:val="24"/>
          <w:szCs w:val="24"/>
        </w:rPr>
        <w:t>, Petrinjska, Bauerova) i objekta koji služi</w:t>
      </w:r>
      <w:r w:rsidR="003C7042">
        <w:rPr>
          <w:rFonts w:ascii="Times New Roman" w:hAnsi="Times New Roman" w:cs="Times New Roman"/>
          <w:sz w:val="24"/>
          <w:szCs w:val="24"/>
        </w:rPr>
        <w:t xml:space="preserve"> u obrazov</w:t>
      </w:r>
      <w:r w:rsidRPr="00921F69">
        <w:rPr>
          <w:rFonts w:ascii="Times New Roman" w:hAnsi="Times New Roman" w:cs="Times New Roman"/>
          <w:sz w:val="24"/>
          <w:szCs w:val="24"/>
        </w:rPr>
        <w:t>e svrhe - Policijska akademija, 4. paviljon.</w:t>
      </w:r>
    </w:p>
    <w:p w:rsidR="00AD7EB2" w:rsidRPr="00921F69" w:rsidRDefault="00AD7EB2" w:rsidP="00C76380">
      <w:pPr>
        <w:spacing w:line="360" w:lineRule="auto"/>
        <w:ind w:firstLine="708"/>
        <w:jc w:val="both"/>
        <w:rPr>
          <w:rFonts w:ascii="Times New Roman" w:hAnsi="Times New Roman" w:cs="Times New Roman"/>
          <w:sz w:val="24"/>
          <w:szCs w:val="24"/>
        </w:rPr>
      </w:pPr>
    </w:p>
    <w:p w:rsidR="00FB2C47" w:rsidRPr="00921F69" w:rsidRDefault="00FB2C47" w:rsidP="00C76380">
      <w:pPr>
        <w:spacing w:line="360" w:lineRule="auto"/>
        <w:ind w:firstLine="708"/>
        <w:jc w:val="both"/>
        <w:rPr>
          <w:rFonts w:ascii="Times New Roman" w:hAnsi="Times New Roman" w:cs="Times New Roman"/>
          <w:sz w:val="24"/>
          <w:szCs w:val="24"/>
        </w:rPr>
      </w:pPr>
    </w:p>
    <w:tbl>
      <w:tblPr>
        <w:tblW w:w="0" w:type="auto"/>
        <w:tblInd w:w="-30" w:type="dxa"/>
        <w:tblLayout w:type="fixed"/>
        <w:tblCellMar>
          <w:left w:w="30" w:type="dxa"/>
          <w:right w:w="30" w:type="dxa"/>
        </w:tblCellMar>
        <w:tblLook w:val="0000" w:firstRow="0" w:lastRow="0" w:firstColumn="0" w:lastColumn="0" w:noHBand="0" w:noVBand="0"/>
      </w:tblPr>
      <w:tblGrid>
        <w:gridCol w:w="2604"/>
        <w:gridCol w:w="6357"/>
      </w:tblGrid>
      <w:tr w:rsidR="00235BD1" w:rsidRPr="00921F69" w:rsidTr="00235BD1">
        <w:trPr>
          <w:trHeight w:val="286"/>
        </w:trPr>
        <w:tc>
          <w:tcPr>
            <w:tcW w:w="8961" w:type="dxa"/>
            <w:gridSpan w:val="2"/>
            <w:tcBorders>
              <w:top w:val="nil"/>
              <w:left w:val="nil"/>
              <w:bottom w:val="nil"/>
              <w:right w:val="nil"/>
            </w:tcBorders>
          </w:tcPr>
          <w:p w:rsidR="00235BD1" w:rsidRPr="00921F69" w:rsidRDefault="00F753B4" w:rsidP="00235BD1">
            <w:pPr>
              <w:autoSpaceDE w:val="0"/>
              <w:autoSpaceDN w:val="0"/>
              <w:adjustRightInd w:val="0"/>
              <w:spacing w:after="0" w:line="240" w:lineRule="auto"/>
              <w:ind w:left="1701" w:firstLine="3402"/>
              <w:jc w:val="center"/>
              <w:rPr>
                <w:rFonts w:ascii="Times New Roman" w:hAnsi="Times New Roman" w:cs="Times New Roman"/>
                <w:b/>
                <w:bCs/>
                <w:color w:val="000000"/>
                <w:sz w:val="24"/>
                <w:szCs w:val="24"/>
              </w:rPr>
            </w:pPr>
            <w:r w:rsidRPr="00921F69">
              <w:rPr>
                <w:rFonts w:ascii="Times New Roman" w:hAnsi="Times New Roman" w:cs="Times New Roman"/>
                <w:b/>
                <w:bCs/>
                <w:color w:val="000000"/>
                <w:sz w:val="24"/>
                <w:szCs w:val="24"/>
              </w:rPr>
              <w:t>RAVNATELJICA</w:t>
            </w:r>
          </w:p>
        </w:tc>
      </w:tr>
      <w:tr w:rsidR="00235BD1" w:rsidRPr="00921F69" w:rsidTr="00235BD1">
        <w:trPr>
          <w:trHeight w:val="286"/>
        </w:trPr>
        <w:tc>
          <w:tcPr>
            <w:tcW w:w="8961" w:type="dxa"/>
            <w:gridSpan w:val="2"/>
            <w:tcBorders>
              <w:top w:val="nil"/>
              <w:left w:val="nil"/>
              <w:bottom w:val="nil"/>
              <w:right w:val="nil"/>
            </w:tcBorders>
          </w:tcPr>
          <w:p w:rsidR="00235BD1" w:rsidRPr="00921F69" w:rsidRDefault="00235BD1" w:rsidP="00235BD1">
            <w:pPr>
              <w:autoSpaceDE w:val="0"/>
              <w:autoSpaceDN w:val="0"/>
              <w:adjustRightInd w:val="0"/>
              <w:spacing w:after="0" w:line="240" w:lineRule="auto"/>
              <w:ind w:left="1701" w:firstLine="3402"/>
              <w:jc w:val="center"/>
              <w:rPr>
                <w:rFonts w:ascii="Times New Roman" w:hAnsi="Times New Roman" w:cs="Times New Roman"/>
                <w:b/>
                <w:bCs/>
                <w:color w:val="000000"/>
                <w:sz w:val="24"/>
                <w:szCs w:val="24"/>
              </w:rPr>
            </w:pPr>
          </w:p>
          <w:p w:rsidR="00F753B4" w:rsidRPr="00921F69" w:rsidRDefault="00F753B4" w:rsidP="00235BD1">
            <w:pPr>
              <w:autoSpaceDE w:val="0"/>
              <w:autoSpaceDN w:val="0"/>
              <w:adjustRightInd w:val="0"/>
              <w:spacing w:after="0" w:line="240" w:lineRule="auto"/>
              <w:ind w:left="1701" w:firstLine="3402"/>
              <w:jc w:val="center"/>
              <w:rPr>
                <w:rFonts w:ascii="Times New Roman" w:hAnsi="Times New Roman" w:cs="Times New Roman"/>
                <w:b/>
                <w:bCs/>
                <w:color w:val="000000"/>
                <w:sz w:val="24"/>
                <w:szCs w:val="24"/>
              </w:rPr>
            </w:pPr>
          </w:p>
        </w:tc>
      </w:tr>
      <w:tr w:rsidR="00235BD1" w:rsidRPr="00921F69" w:rsidTr="00235BD1">
        <w:trPr>
          <w:trHeight w:val="286"/>
        </w:trPr>
        <w:tc>
          <w:tcPr>
            <w:tcW w:w="8961" w:type="dxa"/>
            <w:gridSpan w:val="2"/>
            <w:tcBorders>
              <w:top w:val="nil"/>
              <w:left w:val="nil"/>
              <w:bottom w:val="nil"/>
              <w:right w:val="nil"/>
            </w:tcBorders>
          </w:tcPr>
          <w:p w:rsidR="00235BD1" w:rsidRPr="00921F69" w:rsidRDefault="00F753B4" w:rsidP="00235BD1">
            <w:pPr>
              <w:autoSpaceDE w:val="0"/>
              <w:autoSpaceDN w:val="0"/>
              <w:adjustRightInd w:val="0"/>
              <w:spacing w:after="0" w:line="240" w:lineRule="auto"/>
              <w:ind w:left="1701" w:firstLine="3402"/>
              <w:jc w:val="center"/>
              <w:rPr>
                <w:rFonts w:ascii="Times New Roman" w:hAnsi="Times New Roman" w:cs="Times New Roman"/>
                <w:b/>
                <w:bCs/>
                <w:color w:val="000000"/>
                <w:sz w:val="24"/>
                <w:szCs w:val="24"/>
              </w:rPr>
            </w:pPr>
            <w:r w:rsidRPr="00921F69">
              <w:rPr>
                <w:rFonts w:ascii="Times New Roman" w:hAnsi="Times New Roman" w:cs="Times New Roman"/>
                <w:b/>
                <w:bCs/>
                <w:color w:val="000000"/>
                <w:sz w:val="24"/>
                <w:szCs w:val="24"/>
              </w:rPr>
              <w:t>Andreja Benić</w:t>
            </w:r>
          </w:p>
        </w:tc>
      </w:tr>
      <w:tr w:rsidR="00235BD1" w:rsidRPr="00921F69">
        <w:trPr>
          <w:gridAfter w:val="1"/>
          <w:wAfter w:w="6357" w:type="dxa"/>
          <w:trHeight w:val="204"/>
        </w:trPr>
        <w:tc>
          <w:tcPr>
            <w:tcW w:w="2604" w:type="dxa"/>
            <w:tcBorders>
              <w:top w:val="nil"/>
              <w:left w:val="nil"/>
              <w:bottom w:val="nil"/>
              <w:right w:val="nil"/>
            </w:tcBorders>
          </w:tcPr>
          <w:p w:rsidR="00235BD1" w:rsidRPr="00921F69" w:rsidRDefault="00235BD1" w:rsidP="00235BD1">
            <w:pPr>
              <w:autoSpaceDE w:val="0"/>
              <w:autoSpaceDN w:val="0"/>
              <w:adjustRightInd w:val="0"/>
              <w:spacing w:after="0" w:line="240" w:lineRule="auto"/>
              <w:ind w:firstLine="3402"/>
              <w:jc w:val="right"/>
              <w:rPr>
                <w:rFonts w:ascii="Times New Roman" w:hAnsi="Times New Roman" w:cs="Times New Roman"/>
                <w:color w:val="000000"/>
                <w:sz w:val="24"/>
                <w:szCs w:val="24"/>
              </w:rPr>
            </w:pPr>
          </w:p>
        </w:tc>
      </w:tr>
    </w:tbl>
    <w:p w:rsidR="00814BA1" w:rsidRPr="00921F69" w:rsidRDefault="00814BA1" w:rsidP="00A441EA">
      <w:pPr>
        <w:jc w:val="both"/>
        <w:rPr>
          <w:rFonts w:ascii="Times New Roman" w:hAnsi="Times New Roman" w:cs="Times New Roman"/>
          <w:sz w:val="24"/>
          <w:szCs w:val="24"/>
        </w:rPr>
      </w:pPr>
    </w:p>
    <w:sectPr w:rsidR="00814BA1" w:rsidRPr="00921F69" w:rsidSect="00BC39BF">
      <w:headerReference w:type="even" r:id="rId8"/>
      <w:headerReference w:type="default" r:id="rId9"/>
      <w:footerReference w:type="even" r:id="rId10"/>
      <w:footerReference w:type="default" r:id="rId11"/>
      <w:headerReference w:type="first" r:id="rId12"/>
      <w:footerReference w:type="first" r:id="rId13"/>
      <w:pgSz w:w="11906" w:h="16838"/>
      <w:pgMar w:top="1304" w:right="1440" w:bottom="130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8B2" w:rsidRDefault="000768B2" w:rsidP="00B3639C">
      <w:pPr>
        <w:spacing w:after="0" w:line="240" w:lineRule="auto"/>
      </w:pPr>
      <w:r>
        <w:separator/>
      </w:r>
    </w:p>
  </w:endnote>
  <w:endnote w:type="continuationSeparator" w:id="0">
    <w:p w:rsidR="000768B2" w:rsidRDefault="000768B2" w:rsidP="00B363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39C" w:rsidRDefault="00B3639C">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2792449"/>
      <w:docPartObj>
        <w:docPartGallery w:val="Page Numbers (Bottom of Page)"/>
        <w:docPartUnique/>
      </w:docPartObj>
    </w:sdtPr>
    <w:sdtEndPr/>
    <w:sdtContent>
      <w:p w:rsidR="00B3639C" w:rsidRDefault="00B3639C">
        <w:pPr>
          <w:pStyle w:val="Podnoje"/>
          <w:jc w:val="right"/>
        </w:pPr>
        <w:r>
          <w:fldChar w:fldCharType="begin"/>
        </w:r>
        <w:r>
          <w:instrText>PAGE   \* MERGEFORMAT</w:instrText>
        </w:r>
        <w:r>
          <w:fldChar w:fldCharType="separate"/>
        </w:r>
        <w:r w:rsidR="00933DCE">
          <w:rPr>
            <w:noProof/>
          </w:rPr>
          <w:t>16</w:t>
        </w:r>
        <w:r>
          <w:fldChar w:fldCharType="end"/>
        </w:r>
      </w:p>
    </w:sdtContent>
  </w:sdt>
  <w:p w:rsidR="00B3639C" w:rsidRDefault="00B3639C">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39C" w:rsidRDefault="00B3639C">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8B2" w:rsidRDefault="000768B2" w:rsidP="00B3639C">
      <w:pPr>
        <w:spacing w:after="0" w:line="240" w:lineRule="auto"/>
      </w:pPr>
      <w:r>
        <w:separator/>
      </w:r>
    </w:p>
  </w:footnote>
  <w:footnote w:type="continuationSeparator" w:id="0">
    <w:p w:rsidR="000768B2" w:rsidRDefault="000768B2" w:rsidP="00B363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39C" w:rsidRDefault="00B3639C">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39C" w:rsidRDefault="00B3639C">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39C" w:rsidRDefault="00B3639C">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23B55"/>
    <w:multiLevelType w:val="hybridMultilevel"/>
    <w:tmpl w:val="A79A3958"/>
    <w:lvl w:ilvl="0" w:tplc="4BC8B9C6">
      <w:start w:val="1"/>
      <w:numFmt w:val="decimal"/>
      <w:lvlText w:val="%1."/>
      <w:lvlJc w:val="left"/>
      <w:pPr>
        <w:ind w:left="1068" w:hanging="360"/>
      </w:pPr>
      <w:rPr>
        <w:rFonts w:hint="default"/>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6D70BD8"/>
    <w:multiLevelType w:val="hybridMultilevel"/>
    <w:tmpl w:val="0E4CE9BC"/>
    <w:lvl w:ilvl="0" w:tplc="041A0011">
      <w:start w:val="1"/>
      <w:numFmt w:val="decimal"/>
      <w:lvlText w:val="%1)"/>
      <w:lvlJc w:val="lef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2" w15:restartNumberingAfterBreak="0">
    <w:nsid w:val="158A1103"/>
    <w:multiLevelType w:val="hybridMultilevel"/>
    <w:tmpl w:val="BA8AC03C"/>
    <w:lvl w:ilvl="0" w:tplc="71207414">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3287F19"/>
    <w:multiLevelType w:val="hybridMultilevel"/>
    <w:tmpl w:val="8B32831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5183DDD"/>
    <w:multiLevelType w:val="hybridMultilevel"/>
    <w:tmpl w:val="4586B362"/>
    <w:lvl w:ilvl="0" w:tplc="CE621670">
      <w:start w:val="4005"/>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9B41DA7"/>
    <w:multiLevelType w:val="hybridMultilevel"/>
    <w:tmpl w:val="2AD24376"/>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51A919F7"/>
    <w:multiLevelType w:val="hybridMultilevel"/>
    <w:tmpl w:val="F7C00820"/>
    <w:lvl w:ilvl="0" w:tplc="31A8670A">
      <w:start w:val="1"/>
      <w:numFmt w:val="decimal"/>
      <w:lvlText w:val="%1."/>
      <w:lvlJc w:val="left"/>
      <w:pPr>
        <w:ind w:left="1068" w:hanging="360"/>
      </w:pPr>
      <w:rPr>
        <w:rFonts w:hint="default"/>
        <w:b/>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7" w15:restartNumberingAfterBreak="0">
    <w:nsid w:val="6A5A50D9"/>
    <w:multiLevelType w:val="hybridMultilevel"/>
    <w:tmpl w:val="1A1030DC"/>
    <w:lvl w:ilvl="0" w:tplc="4D3A15A8">
      <w:start w:val="1"/>
      <w:numFmt w:val="decimal"/>
      <w:lvlText w:val="%1."/>
      <w:lvlJc w:val="left"/>
      <w:pPr>
        <w:ind w:left="1211" w:hanging="360"/>
      </w:pPr>
      <w:rPr>
        <w:rFonts w:hint="default"/>
      </w:rPr>
    </w:lvl>
    <w:lvl w:ilvl="1" w:tplc="041A0019" w:tentative="1">
      <w:start w:val="1"/>
      <w:numFmt w:val="lowerLetter"/>
      <w:lvlText w:val="%2."/>
      <w:lvlJc w:val="left"/>
      <w:pPr>
        <w:ind w:left="1931" w:hanging="360"/>
      </w:pPr>
    </w:lvl>
    <w:lvl w:ilvl="2" w:tplc="041A001B" w:tentative="1">
      <w:start w:val="1"/>
      <w:numFmt w:val="lowerRoman"/>
      <w:lvlText w:val="%3."/>
      <w:lvlJc w:val="right"/>
      <w:pPr>
        <w:ind w:left="2651" w:hanging="180"/>
      </w:pPr>
    </w:lvl>
    <w:lvl w:ilvl="3" w:tplc="041A000F" w:tentative="1">
      <w:start w:val="1"/>
      <w:numFmt w:val="decimal"/>
      <w:lvlText w:val="%4."/>
      <w:lvlJc w:val="left"/>
      <w:pPr>
        <w:ind w:left="3371" w:hanging="360"/>
      </w:pPr>
    </w:lvl>
    <w:lvl w:ilvl="4" w:tplc="041A0019" w:tentative="1">
      <w:start w:val="1"/>
      <w:numFmt w:val="lowerLetter"/>
      <w:lvlText w:val="%5."/>
      <w:lvlJc w:val="left"/>
      <w:pPr>
        <w:ind w:left="4091" w:hanging="360"/>
      </w:pPr>
    </w:lvl>
    <w:lvl w:ilvl="5" w:tplc="041A001B" w:tentative="1">
      <w:start w:val="1"/>
      <w:numFmt w:val="lowerRoman"/>
      <w:lvlText w:val="%6."/>
      <w:lvlJc w:val="right"/>
      <w:pPr>
        <w:ind w:left="4811" w:hanging="180"/>
      </w:pPr>
    </w:lvl>
    <w:lvl w:ilvl="6" w:tplc="041A000F" w:tentative="1">
      <w:start w:val="1"/>
      <w:numFmt w:val="decimal"/>
      <w:lvlText w:val="%7."/>
      <w:lvlJc w:val="left"/>
      <w:pPr>
        <w:ind w:left="5531" w:hanging="360"/>
      </w:pPr>
    </w:lvl>
    <w:lvl w:ilvl="7" w:tplc="041A0019" w:tentative="1">
      <w:start w:val="1"/>
      <w:numFmt w:val="lowerLetter"/>
      <w:lvlText w:val="%8."/>
      <w:lvlJc w:val="left"/>
      <w:pPr>
        <w:ind w:left="6251" w:hanging="360"/>
      </w:pPr>
    </w:lvl>
    <w:lvl w:ilvl="8" w:tplc="041A001B" w:tentative="1">
      <w:start w:val="1"/>
      <w:numFmt w:val="lowerRoman"/>
      <w:lvlText w:val="%9."/>
      <w:lvlJc w:val="right"/>
      <w:pPr>
        <w:ind w:left="6971" w:hanging="180"/>
      </w:pPr>
    </w:lvl>
  </w:abstractNum>
  <w:abstractNum w:abstractNumId="8" w15:restartNumberingAfterBreak="0">
    <w:nsid w:val="7CCA3277"/>
    <w:multiLevelType w:val="hybridMultilevel"/>
    <w:tmpl w:val="F7C00820"/>
    <w:lvl w:ilvl="0" w:tplc="31A8670A">
      <w:start w:val="1"/>
      <w:numFmt w:val="decimal"/>
      <w:lvlText w:val="%1."/>
      <w:lvlJc w:val="left"/>
      <w:pPr>
        <w:ind w:left="1068" w:hanging="360"/>
      </w:pPr>
      <w:rPr>
        <w:rFonts w:hint="default"/>
        <w:b/>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num w:numId="1">
    <w:abstractNumId w:val="4"/>
  </w:num>
  <w:num w:numId="2">
    <w:abstractNumId w:val="5"/>
  </w:num>
  <w:num w:numId="3">
    <w:abstractNumId w:val="2"/>
  </w:num>
  <w:num w:numId="4">
    <w:abstractNumId w:val="3"/>
  </w:num>
  <w:num w:numId="5">
    <w:abstractNumId w:val="7"/>
  </w:num>
  <w:num w:numId="6">
    <w:abstractNumId w:val="0"/>
  </w:num>
  <w:num w:numId="7">
    <w:abstractNumId w:val="1"/>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860"/>
    <w:rsid w:val="000025F6"/>
    <w:rsid w:val="00004A21"/>
    <w:rsid w:val="0000663C"/>
    <w:rsid w:val="000115D4"/>
    <w:rsid w:val="0001201D"/>
    <w:rsid w:val="00014A2C"/>
    <w:rsid w:val="0001541B"/>
    <w:rsid w:val="000161B4"/>
    <w:rsid w:val="00023DB1"/>
    <w:rsid w:val="00025C40"/>
    <w:rsid w:val="00026488"/>
    <w:rsid w:val="0002743A"/>
    <w:rsid w:val="00031572"/>
    <w:rsid w:val="000336C2"/>
    <w:rsid w:val="000366B5"/>
    <w:rsid w:val="00036E07"/>
    <w:rsid w:val="0003779D"/>
    <w:rsid w:val="00041490"/>
    <w:rsid w:val="00045536"/>
    <w:rsid w:val="00045DD6"/>
    <w:rsid w:val="00046F24"/>
    <w:rsid w:val="0004787F"/>
    <w:rsid w:val="000509C0"/>
    <w:rsid w:val="00051651"/>
    <w:rsid w:val="00051DF6"/>
    <w:rsid w:val="000535AB"/>
    <w:rsid w:val="00055E19"/>
    <w:rsid w:val="00060964"/>
    <w:rsid w:val="00060A7E"/>
    <w:rsid w:val="00061778"/>
    <w:rsid w:val="000641B0"/>
    <w:rsid w:val="00067D74"/>
    <w:rsid w:val="0007120A"/>
    <w:rsid w:val="00074235"/>
    <w:rsid w:val="00076451"/>
    <w:rsid w:val="000768B2"/>
    <w:rsid w:val="000920F1"/>
    <w:rsid w:val="000A2993"/>
    <w:rsid w:val="000A2CEC"/>
    <w:rsid w:val="000A5181"/>
    <w:rsid w:val="000A5F8C"/>
    <w:rsid w:val="000A7A4F"/>
    <w:rsid w:val="000B2C7E"/>
    <w:rsid w:val="000B5D68"/>
    <w:rsid w:val="000C5C44"/>
    <w:rsid w:val="000D18F4"/>
    <w:rsid w:val="000D2D3D"/>
    <w:rsid w:val="000D61E4"/>
    <w:rsid w:val="000D7DA6"/>
    <w:rsid w:val="000E0CA0"/>
    <w:rsid w:val="000E2EEE"/>
    <w:rsid w:val="000E32E3"/>
    <w:rsid w:val="000E3CD4"/>
    <w:rsid w:val="000E559A"/>
    <w:rsid w:val="000E6DCF"/>
    <w:rsid w:val="000E6F2B"/>
    <w:rsid w:val="001010E8"/>
    <w:rsid w:val="00102B9B"/>
    <w:rsid w:val="00103E16"/>
    <w:rsid w:val="001055BC"/>
    <w:rsid w:val="001103AF"/>
    <w:rsid w:val="0011142B"/>
    <w:rsid w:val="00111F07"/>
    <w:rsid w:val="00113B69"/>
    <w:rsid w:val="00113FE5"/>
    <w:rsid w:val="00114532"/>
    <w:rsid w:val="00115299"/>
    <w:rsid w:val="00117145"/>
    <w:rsid w:val="00117D73"/>
    <w:rsid w:val="00117F87"/>
    <w:rsid w:val="00117F91"/>
    <w:rsid w:val="001233DE"/>
    <w:rsid w:val="00125D38"/>
    <w:rsid w:val="0012650D"/>
    <w:rsid w:val="00126F6F"/>
    <w:rsid w:val="00134D3C"/>
    <w:rsid w:val="0013506D"/>
    <w:rsid w:val="001415D6"/>
    <w:rsid w:val="001429C2"/>
    <w:rsid w:val="00142E88"/>
    <w:rsid w:val="0014303F"/>
    <w:rsid w:val="00143C32"/>
    <w:rsid w:val="00151EEE"/>
    <w:rsid w:val="00154DA2"/>
    <w:rsid w:val="0015501E"/>
    <w:rsid w:val="001574FA"/>
    <w:rsid w:val="00157F35"/>
    <w:rsid w:val="00161B1E"/>
    <w:rsid w:val="00161F8E"/>
    <w:rsid w:val="00163919"/>
    <w:rsid w:val="001643C0"/>
    <w:rsid w:val="00165717"/>
    <w:rsid w:val="001667F8"/>
    <w:rsid w:val="00172B0A"/>
    <w:rsid w:val="00173AD8"/>
    <w:rsid w:val="00175C49"/>
    <w:rsid w:val="00175C6C"/>
    <w:rsid w:val="001773C1"/>
    <w:rsid w:val="001800F2"/>
    <w:rsid w:val="001812E6"/>
    <w:rsid w:val="0018165C"/>
    <w:rsid w:val="00186EA6"/>
    <w:rsid w:val="00191B21"/>
    <w:rsid w:val="00197FDE"/>
    <w:rsid w:val="001A022E"/>
    <w:rsid w:val="001A08A5"/>
    <w:rsid w:val="001A0CA3"/>
    <w:rsid w:val="001A29B1"/>
    <w:rsid w:val="001A7FE9"/>
    <w:rsid w:val="001B0851"/>
    <w:rsid w:val="001B1A68"/>
    <w:rsid w:val="001B29E7"/>
    <w:rsid w:val="001B3497"/>
    <w:rsid w:val="001B69B0"/>
    <w:rsid w:val="001C03F6"/>
    <w:rsid w:val="001C3864"/>
    <w:rsid w:val="001C48BC"/>
    <w:rsid w:val="001C4F57"/>
    <w:rsid w:val="001C5BDA"/>
    <w:rsid w:val="001D16EA"/>
    <w:rsid w:val="001D1765"/>
    <w:rsid w:val="001D1BDA"/>
    <w:rsid w:val="001D1E52"/>
    <w:rsid w:val="001D265C"/>
    <w:rsid w:val="001D34BB"/>
    <w:rsid w:val="001D42C0"/>
    <w:rsid w:val="001D57EA"/>
    <w:rsid w:val="001D7B48"/>
    <w:rsid w:val="001E287D"/>
    <w:rsid w:val="001E3186"/>
    <w:rsid w:val="001E3A4E"/>
    <w:rsid w:val="001E3E5C"/>
    <w:rsid w:val="001F0AFB"/>
    <w:rsid w:val="001F119E"/>
    <w:rsid w:val="001F2754"/>
    <w:rsid w:val="001F572E"/>
    <w:rsid w:val="00204977"/>
    <w:rsid w:val="00206B6E"/>
    <w:rsid w:val="00212257"/>
    <w:rsid w:val="00214123"/>
    <w:rsid w:val="0021447D"/>
    <w:rsid w:val="00214872"/>
    <w:rsid w:val="002210C0"/>
    <w:rsid w:val="00226186"/>
    <w:rsid w:val="00226D52"/>
    <w:rsid w:val="00227B40"/>
    <w:rsid w:val="00230DCB"/>
    <w:rsid w:val="002327E8"/>
    <w:rsid w:val="0023325D"/>
    <w:rsid w:val="00233FA9"/>
    <w:rsid w:val="00234927"/>
    <w:rsid w:val="0023583C"/>
    <w:rsid w:val="00235BD1"/>
    <w:rsid w:val="00235C58"/>
    <w:rsid w:val="00236D63"/>
    <w:rsid w:val="00241781"/>
    <w:rsid w:val="00244521"/>
    <w:rsid w:val="00244D24"/>
    <w:rsid w:val="00245536"/>
    <w:rsid w:val="00245854"/>
    <w:rsid w:val="0024682B"/>
    <w:rsid w:val="002500DC"/>
    <w:rsid w:val="002525BD"/>
    <w:rsid w:val="0025355D"/>
    <w:rsid w:val="00253573"/>
    <w:rsid w:val="00254E42"/>
    <w:rsid w:val="00255FFF"/>
    <w:rsid w:val="002627F1"/>
    <w:rsid w:val="00263BA3"/>
    <w:rsid w:val="0026419B"/>
    <w:rsid w:val="00264656"/>
    <w:rsid w:val="00264ED9"/>
    <w:rsid w:val="002719E7"/>
    <w:rsid w:val="00272D9C"/>
    <w:rsid w:val="0027478A"/>
    <w:rsid w:val="00275860"/>
    <w:rsid w:val="00277CFA"/>
    <w:rsid w:val="002820CA"/>
    <w:rsid w:val="00283C0C"/>
    <w:rsid w:val="00283DD1"/>
    <w:rsid w:val="00286773"/>
    <w:rsid w:val="0028698B"/>
    <w:rsid w:val="00295AC4"/>
    <w:rsid w:val="002A054B"/>
    <w:rsid w:val="002A1661"/>
    <w:rsid w:val="002A6F4E"/>
    <w:rsid w:val="002B08AD"/>
    <w:rsid w:val="002B2FBC"/>
    <w:rsid w:val="002C060A"/>
    <w:rsid w:val="002C36DE"/>
    <w:rsid w:val="002C3DDA"/>
    <w:rsid w:val="002C60BF"/>
    <w:rsid w:val="002C6D09"/>
    <w:rsid w:val="002D298A"/>
    <w:rsid w:val="002D31B2"/>
    <w:rsid w:val="002D35C3"/>
    <w:rsid w:val="002D4E1A"/>
    <w:rsid w:val="002D6134"/>
    <w:rsid w:val="002D6893"/>
    <w:rsid w:val="002E0EB8"/>
    <w:rsid w:val="002E1553"/>
    <w:rsid w:val="002E62ED"/>
    <w:rsid w:val="002E69A0"/>
    <w:rsid w:val="002F0AD7"/>
    <w:rsid w:val="002F0D38"/>
    <w:rsid w:val="002F23B7"/>
    <w:rsid w:val="002F281A"/>
    <w:rsid w:val="002F3023"/>
    <w:rsid w:val="002F5865"/>
    <w:rsid w:val="002F62CF"/>
    <w:rsid w:val="0030084F"/>
    <w:rsid w:val="00301725"/>
    <w:rsid w:val="0030325F"/>
    <w:rsid w:val="0030341D"/>
    <w:rsid w:val="00312795"/>
    <w:rsid w:val="0031458A"/>
    <w:rsid w:val="0031655C"/>
    <w:rsid w:val="0031787C"/>
    <w:rsid w:val="003246CC"/>
    <w:rsid w:val="003249BF"/>
    <w:rsid w:val="003266A8"/>
    <w:rsid w:val="0033042C"/>
    <w:rsid w:val="00332380"/>
    <w:rsid w:val="003339A5"/>
    <w:rsid w:val="0033735A"/>
    <w:rsid w:val="0034278C"/>
    <w:rsid w:val="00343A8E"/>
    <w:rsid w:val="00345D01"/>
    <w:rsid w:val="00345E1B"/>
    <w:rsid w:val="00351245"/>
    <w:rsid w:val="00355775"/>
    <w:rsid w:val="003577A5"/>
    <w:rsid w:val="003607BA"/>
    <w:rsid w:val="00364C5E"/>
    <w:rsid w:val="00364EE0"/>
    <w:rsid w:val="00372DAB"/>
    <w:rsid w:val="0037362B"/>
    <w:rsid w:val="0037669C"/>
    <w:rsid w:val="00382E26"/>
    <w:rsid w:val="0038358A"/>
    <w:rsid w:val="00383B88"/>
    <w:rsid w:val="003848B6"/>
    <w:rsid w:val="00394C92"/>
    <w:rsid w:val="0039556D"/>
    <w:rsid w:val="0039612B"/>
    <w:rsid w:val="003A00FB"/>
    <w:rsid w:val="003A06C7"/>
    <w:rsid w:val="003A1CC9"/>
    <w:rsid w:val="003A718C"/>
    <w:rsid w:val="003B23FB"/>
    <w:rsid w:val="003B2909"/>
    <w:rsid w:val="003B2AED"/>
    <w:rsid w:val="003B3BAD"/>
    <w:rsid w:val="003B7CB1"/>
    <w:rsid w:val="003C017E"/>
    <w:rsid w:val="003C08F2"/>
    <w:rsid w:val="003C1165"/>
    <w:rsid w:val="003C1BBD"/>
    <w:rsid w:val="003C7042"/>
    <w:rsid w:val="003D06BD"/>
    <w:rsid w:val="003D0C3A"/>
    <w:rsid w:val="003D1DE2"/>
    <w:rsid w:val="003D2861"/>
    <w:rsid w:val="003D4D9F"/>
    <w:rsid w:val="003D6D1A"/>
    <w:rsid w:val="003E2A35"/>
    <w:rsid w:val="003E2EF1"/>
    <w:rsid w:val="003E3D70"/>
    <w:rsid w:val="003E5B48"/>
    <w:rsid w:val="003E5D71"/>
    <w:rsid w:val="003E5E5C"/>
    <w:rsid w:val="003E7BCF"/>
    <w:rsid w:val="003F14F9"/>
    <w:rsid w:val="003F4A17"/>
    <w:rsid w:val="003F60B6"/>
    <w:rsid w:val="003F748B"/>
    <w:rsid w:val="004144F4"/>
    <w:rsid w:val="004152B2"/>
    <w:rsid w:val="00417026"/>
    <w:rsid w:val="00420A91"/>
    <w:rsid w:val="0043274D"/>
    <w:rsid w:val="00433234"/>
    <w:rsid w:val="00433B30"/>
    <w:rsid w:val="00436583"/>
    <w:rsid w:val="00437984"/>
    <w:rsid w:val="00437CB5"/>
    <w:rsid w:val="00437DF9"/>
    <w:rsid w:val="00440961"/>
    <w:rsid w:val="00443747"/>
    <w:rsid w:val="004451D9"/>
    <w:rsid w:val="00447ED9"/>
    <w:rsid w:val="004525FE"/>
    <w:rsid w:val="00452CFA"/>
    <w:rsid w:val="0045307D"/>
    <w:rsid w:val="00453EB0"/>
    <w:rsid w:val="00453F10"/>
    <w:rsid w:val="00456FAF"/>
    <w:rsid w:val="00457C23"/>
    <w:rsid w:val="004600AE"/>
    <w:rsid w:val="00460825"/>
    <w:rsid w:val="00463BA1"/>
    <w:rsid w:val="00470988"/>
    <w:rsid w:val="00472AB7"/>
    <w:rsid w:val="004769CD"/>
    <w:rsid w:val="00476A00"/>
    <w:rsid w:val="00480B04"/>
    <w:rsid w:val="00482406"/>
    <w:rsid w:val="0048302A"/>
    <w:rsid w:val="00485ED1"/>
    <w:rsid w:val="00492392"/>
    <w:rsid w:val="00493764"/>
    <w:rsid w:val="0049410B"/>
    <w:rsid w:val="0049452A"/>
    <w:rsid w:val="00495DB6"/>
    <w:rsid w:val="00496EE0"/>
    <w:rsid w:val="004A06E4"/>
    <w:rsid w:val="004A3A83"/>
    <w:rsid w:val="004A4D74"/>
    <w:rsid w:val="004A6EFA"/>
    <w:rsid w:val="004A70D5"/>
    <w:rsid w:val="004B7741"/>
    <w:rsid w:val="004B7963"/>
    <w:rsid w:val="004C0FE6"/>
    <w:rsid w:val="004C38EC"/>
    <w:rsid w:val="004C4139"/>
    <w:rsid w:val="004C4D8E"/>
    <w:rsid w:val="004C5546"/>
    <w:rsid w:val="004D5BA3"/>
    <w:rsid w:val="004D7402"/>
    <w:rsid w:val="004E087C"/>
    <w:rsid w:val="004E0F95"/>
    <w:rsid w:val="004E308F"/>
    <w:rsid w:val="004E3A95"/>
    <w:rsid w:val="004E3EA1"/>
    <w:rsid w:val="004E7308"/>
    <w:rsid w:val="004F16FE"/>
    <w:rsid w:val="004F289A"/>
    <w:rsid w:val="004F390E"/>
    <w:rsid w:val="004F5A49"/>
    <w:rsid w:val="004F7998"/>
    <w:rsid w:val="00503532"/>
    <w:rsid w:val="00507BBD"/>
    <w:rsid w:val="0051000E"/>
    <w:rsid w:val="00511783"/>
    <w:rsid w:val="00527EAA"/>
    <w:rsid w:val="00533E0B"/>
    <w:rsid w:val="00535344"/>
    <w:rsid w:val="00535798"/>
    <w:rsid w:val="00540F00"/>
    <w:rsid w:val="00540F3E"/>
    <w:rsid w:val="00541837"/>
    <w:rsid w:val="005424E6"/>
    <w:rsid w:val="0055074B"/>
    <w:rsid w:val="00551838"/>
    <w:rsid w:val="0055209C"/>
    <w:rsid w:val="00554AEC"/>
    <w:rsid w:val="0055678E"/>
    <w:rsid w:val="00560E06"/>
    <w:rsid w:val="005635CE"/>
    <w:rsid w:val="0056695F"/>
    <w:rsid w:val="00566F2C"/>
    <w:rsid w:val="00567445"/>
    <w:rsid w:val="005736A8"/>
    <w:rsid w:val="005741E5"/>
    <w:rsid w:val="0057484B"/>
    <w:rsid w:val="005751C7"/>
    <w:rsid w:val="005848DC"/>
    <w:rsid w:val="00585084"/>
    <w:rsid w:val="00590D1D"/>
    <w:rsid w:val="0059500F"/>
    <w:rsid w:val="00595592"/>
    <w:rsid w:val="00596970"/>
    <w:rsid w:val="005A19AA"/>
    <w:rsid w:val="005A3140"/>
    <w:rsid w:val="005A3BBF"/>
    <w:rsid w:val="005A6464"/>
    <w:rsid w:val="005A783A"/>
    <w:rsid w:val="005B2D4B"/>
    <w:rsid w:val="005B58FC"/>
    <w:rsid w:val="005B6083"/>
    <w:rsid w:val="005C0705"/>
    <w:rsid w:val="005C0FCC"/>
    <w:rsid w:val="005C30EF"/>
    <w:rsid w:val="005C3BC8"/>
    <w:rsid w:val="005C4AFD"/>
    <w:rsid w:val="005C5397"/>
    <w:rsid w:val="005C5B25"/>
    <w:rsid w:val="005D0999"/>
    <w:rsid w:val="005D0A32"/>
    <w:rsid w:val="005D1E2F"/>
    <w:rsid w:val="005D48B3"/>
    <w:rsid w:val="005D498F"/>
    <w:rsid w:val="005D6CCA"/>
    <w:rsid w:val="005E125C"/>
    <w:rsid w:val="005E18C1"/>
    <w:rsid w:val="005E3854"/>
    <w:rsid w:val="005E6685"/>
    <w:rsid w:val="005E68D5"/>
    <w:rsid w:val="005F5884"/>
    <w:rsid w:val="005F629C"/>
    <w:rsid w:val="005F7414"/>
    <w:rsid w:val="00602333"/>
    <w:rsid w:val="00602FEA"/>
    <w:rsid w:val="006038CD"/>
    <w:rsid w:val="0060528D"/>
    <w:rsid w:val="00606B31"/>
    <w:rsid w:val="006079BD"/>
    <w:rsid w:val="00610132"/>
    <w:rsid w:val="00611BE1"/>
    <w:rsid w:val="0061216B"/>
    <w:rsid w:val="00625F81"/>
    <w:rsid w:val="00637019"/>
    <w:rsid w:val="0064159C"/>
    <w:rsid w:val="00642025"/>
    <w:rsid w:val="006457C4"/>
    <w:rsid w:val="0064633D"/>
    <w:rsid w:val="00651247"/>
    <w:rsid w:val="0065201C"/>
    <w:rsid w:val="00653C95"/>
    <w:rsid w:val="006553DC"/>
    <w:rsid w:val="0065654B"/>
    <w:rsid w:val="00663B8C"/>
    <w:rsid w:val="0066665F"/>
    <w:rsid w:val="00667D90"/>
    <w:rsid w:val="00671D81"/>
    <w:rsid w:val="0067255F"/>
    <w:rsid w:val="006738B9"/>
    <w:rsid w:val="00677CA0"/>
    <w:rsid w:val="0068068A"/>
    <w:rsid w:val="00690D4A"/>
    <w:rsid w:val="0069302D"/>
    <w:rsid w:val="0069342C"/>
    <w:rsid w:val="00693971"/>
    <w:rsid w:val="006958EB"/>
    <w:rsid w:val="00696249"/>
    <w:rsid w:val="006965EB"/>
    <w:rsid w:val="006A0AFC"/>
    <w:rsid w:val="006A0E32"/>
    <w:rsid w:val="006A2C33"/>
    <w:rsid w:val="006A520D"/>
    <w:rsid w:val="006B03A6"/>
    <w:rsid w:val="006B5E83"/>
    <w:rsid w:val="006C2B8C"/>
    <w:rsid w:val="006C45CE"/>
    <w:rsid w:val="006C4753"/>
    <w:rsid w:val="006D087A"/>
    <w:rsid w:val="006D2A07"/>
    <w:rsid w:val="006D3FB2"/>
    <w:rsid w:val="006D41E2"/>
    <w:rsid w:val="006D7A29"/>
    <w:rsid w:val="006E787D"/>
    <w:rsid w:val="006F09D6"/>
    <w:rsid w:val="006F0BD3"/>
    <w:rsid w:val="006F111B"/>
    <w:rsid w:val="006F17A6"/>
    <w:rsid w:val="006F3929"/>
    <w:rsid w:val="006F43CF"/>
    <w:rsid w:val="006F73DF"/>
    <w:rsid w:val="00707607"/>
    <w:rsid w:val="00710FC6"/>
    <w:rsid w:val="00720CD1"/>
    <w:rsid w:val="007222C3"/>
    <w:rsid w:val="00723428"/>
    <w:rsid w:val="007247A3"/>
    <w:rsid w:val="00725D7F"/>
    <w:rsid w:val="00730954"/>
    <w:rsid w:val="007309EA"/>
    <w:rsid w:val="00732A48"/>
    <w:rsid w:val="007342B2"/>
    <w:rsid w:val="00740EA7"/>
    <w:rsid w:val="007410D1"/>
    <w:rsid w:val="00742381"/>
    <w:rsid w:val="00743A4B"/>
    <w:rsid w:val="00750A8C"/>
    <w:rsid w:val="00762511"/>
    <w:rsid w:val="00770ECA"/>
    <w:rsid w:val="00771A77"/>
    <w:rsid w:val="00777210"/>
    <w:rsid w:val="007776A0"/>
    <w:rsid w:val="00780931"/>
    <w:rsid w:val="007832A1"/>
    <w:rsid w:val="0078451E"/>
    <w:rsid w:val="00785D5C"/>
    <w:rsid w:val="00790AAE"/>
    <w:rsid w:val="00794027"/>
    <w:rsid w:val="00794A4C"/>
    <w:rsid w:val="00794DD4"/>
    <w:rsid w:val="007A0699"/>
    <w:rsid w:val="007A3A6E"/>
    <w:rsid w:val="007A5A89"/>
    <w:rsid w:val="007A763E"/>
    <w:rsid w:val="007B13D3"/>
    <w:rsid w:val="007B2BEC"/>
    <w:rsid w:val="007B52DC"/>
    <w:rsid w:val="007C0771"/>
    <w:rsid w:val="007C3478"/>
    <w:rsid w:val="007C4F66"/>
    <w:rsid w:val="007C632A"/>
    <w:rsid w:val="007C6460"/>
    <w:rsid w:val="007D2865"/>
    <w:rsid w:val="007D421B"/>
    <w:rsid w:val="007D5106"/>
    <w:rsid w:val="007D56B0"/>
    <w:rsid w:val="007D57A1"/>
    <w:rsid w:val="007D66B8"/>
    <w:rsid w:val="007D6B62"/>
    <w:rsid w:val="007D77D5"/>
    <w:rsid w:val="007E0427"/>
    <w:rsid w:val="007E116F"/>
    <w:rsid w:val="007E2363"/>
    <w:rsid w:val="007E5423"/>
    <w:rsid w:val="007E5662"/>
    <w:rsid w:val="007F0F75"/>
    <w:rsid w:val="007F16A2"/>
    <w:rsid w:val="007F3642"/>
    <w:rsid w:val="007F5173"/>
    <w:rsid w:val="007F6859"/>
    <w:rsid w:val="007F7243"/>
    <w:rsid w:val="00805B35"/>
    <w:rsid w:val="008072E3"/>
    <w:rsid w:val="008103DA"/>
    <w:rsid w:val="008104BF"/>
    <w:rsid w:val="0081182A"/>
    <w:rsid w:val="008144F4"/>
    <w:rsid w:val="00814BA1"/>
    <w:rsid w:val="00816133"/>
    <w:rsid w:val="0082084C"/>
    <w:rsid w:val="0082564D"/>
    <w:rsid w:val="00825D5E"/>
    <w:rsid w:val="00830B1B"/>
    <w:rsid w:val="00831ECB"/>
    <w:rsid w:val="00833717"/>
    <w:rsid w:val="00833E47"/>
    <w:rsid w:val="00840DC8"/>
    <w:rsid w:val="00843F6D"/>
    <w:rsid w:val="00845660"/>
    <w:rsid w:val="00845F8A"/>
    <w:rsid w:val="00850041"/>
    <w:rsid w:val="00850359"/>
    <w:rsid w:val="00851C77"/>
    <w:rsid w:val="008529A7"/>
    <w:rsid w:val="00854030"/>
    <w:rsid w:val="00855B0A"/>
    <w:rsid w:val="00855B4B"/>
    <w:rsid w:val="00856092"/>
    <w:rsid w:val="008633C4"/>
    <w:rsid w:val="00863C9F"/>
    <w:rsid w:val="00870119"/>
    <w:rsid w:val="00871794"/>
    <w:rsid w:val="008727EE"/>
    <w:rsid w:val="00874FB7"/>
    <w:rsid w:val="00875BA1"/>
    <w:rsid w:val="0087775C"/>
    <w:rsid w:val="0088112D"/>
    <w:rsid w:val="008823AC"/>
    <w:rsid w:val="00883706"/>
    <w:rsid w:val="00884492"/>
    <w:rsid w:val="008844AE"/>
    <w:rsid w:val="008846C4"/>
    <w:rsid w:val="0088502F"/>
    <w:rsid w:val="008935F9"/>
    <w:rsid w:val="00896DD5"/>
    <w:rsid w:val="008A4E49"/>
    <w:rsid w:val="008A619D"/>
    <w:rsid w:val="008B102B"/>
    <w:rsid w:val="008B20DB"/>
    <w:rsid w:val="008B3E1C"/>
    <w:rsid w:val="008C2E23"/>
    <w:rsid w:val="008C3755"/>
    <w:rsid w:val="008C54D0"/>
    <w:rsid w:val="008C5F1E"/>
    <w:rsid w:val="008C7B2F"/>
    <w:rsid w:val="008D1F2B"/>
    <w:rsid w:val="008D38BD"/>
    <w:rsid w:val="008D548A"/>
    <w:rsid w:val="008D55A1"/>
    <w:rsid w:val="008E0CA1"/>
    <w:rsid w:val="008E37F5"/>
    <w:rsid w:val="008E5559"/>
    <w:rsid w:val="008F19B2"/>
    <w:rsid w:val="008F1B84"/>
    <w:rsid w:val="008F1BE3"/>
    <w:rsid w:val="008F5D17"/>
    <w:rsid w:val="009024E5"/>
    <w:rsid w:val="00907920"/>
    <w:rsid w:val="00912087"/>
    <w:rsid w:val="00914684"/>
    <w:rsid w:val="00915472"/>
    <w:rsid w:val="00921F69"/>
    <w:rsid w:val="009225B0"/>
    <w:rsid w:val="009242DC"/>
    <w:rsid w:val="00924927"/>
    <w:rsid w:val="009256F9"/>
    <w:rsid w:val="00932865"/>
    <w:rsid w:val="00933DCE"/>
    <w:rsid w:val="0093791A"/>
    <w:rsid w:val="00940752"/>
    <w:rsid w:val="009433B3"/>
    <w:rsid w:val="00944432"/>
    <w:rsid w:val="0094464E"/>
    <w:rsid w:val="00944A51"/>
    <w:rsid w:val="00946832"/>
    <w:rsid w:val="00947230"/>
    <w:rsid w:val="009526D5"/>
    <w:rsid w:val="009539A4"/>
    <w:rsid w:val="00955C59"/>
    <w:rsid w:val="009564F2"/>
    <w:rsid w:val="00961411"/>
    <w:rsid w:val="00965E8C"/>
    <w:rsid w:val="00981A6E"/>
    <w:rsid w:val="009836F3"/>
    <w:rsid w:val="0098520A"/>
    <w:rsid w:val="00986726"/>
    <w:rsid w:val="00986FA1"/>
    <w:rsid w:val="00987691"/>
    <w:rsid w:val="009902A6"/>
    <w:rsid w:val="00992166"/>
    <w:rsid w:val="009A06EC"/>
    <w:rsid w:val="009A15F4"/>
    <w:rsid w:val="009A481A"/>
    <w:rsid w:val="009A4CA8"/>
    <w:rsid w:val="009A4EB1"/>
    <w:rsid w:val="009A6F57"/>
    <w:rsid w:val="009A7EA3"/>
    <w:rsid w:val="009B168C"/>
    <w:rsid w:val="009B1B0F"/>
    <w:rsid w:val="009B24AD"/>
    <w:rsid w:val="009B62AD"/>
    <w:rsid w:val="009B7304"/>
    <w:rsid w:val="009C243F"/>
    <w:rsid w:val="009C31F9"/>
    <w:rsid w:val="009C3602"/>
    <w:rsid w:val="009C7C6B"/>
    <w:rsid w:val="009D0EE5"/>
    <w:rsid w:val="009D40B3"/>
    <w:rsid w:val="009D6A06"/>
    <w:rsid w:val="009E0EEC"/>
    <w:rsid w:val="009E1135"/>
    <w:rsid w:val="009E3F7D"/>
    <w:rsid w:val="009E50E6"/>
    <w:rsid w:val="009E7983"/>
    <w:rsid w:val="009E7F00"/>
    <w:rsid w:val="009F0F74"/>
    <w:rsid w:val="009F24A9"/>
    <w:rsid w:val="009F359A"/>
    <w:rsid w:val="009F3813"/>
    <w:rsid w:val="009F4DB6"/>
    <w:rsid w:val="00A00D3D"/>
    <w:rsid w:val="00A06ED2"/>
    <w:rsid w:val="00A10F59"/>
    <w:rsid w:val="00A111AD"/>
    <w:rsid w:val="00A1190A"/>
    <w:rsid w:val="00A12A77"/>
    <w:rsid w:val="00A136AE"/>
    <w:rsid w:val="00A1474A"/>
    <w:rsid w:val="00A15E2B"/>
    <w:rsid w:val="00A24C81"/>
    <w:rsid w:val="00A251A4"/>
    <w:rsid w:val="00A25AFB"/>
    <w:rsid w:val="00A279E7"/>
    <w:rsid w:val="00A350DB"/>
    <w:rsid w:val="00A36101"/>
    <w:rsid w:val="00A37956"/>
    <w:rsid w:val="00A441EA"/>
    <w:rsid w:val="00A4444A"/>
    <w:rsid w:val="00A4481C"/>
    <w:rsid w:val="00A46AC6"/>
    <w:rsid w:val="00A47B77"/>
    <w:rsid w:val="00A531D3"/>
    <w:rsid w:val="00A537AE"/>
    <w:rsid w:val="00A5412A"/>
    <w:rsid w:val="00A563C0"/>
    <w:rsid w:val="00A5753F"/>
    <w:rsid w:val="00A604A4"/>
    <w:rsid w:val="00A60534"/>
    <w:rsid w:val="00A61EDE"/>
    <w:rsid w:val="00A62FD7"/>
    <w:rsid w:val="00A633D8"/>
    <w:rsid w:val="00A63948"/>
    <w:rsid w:val="00A66AA5"/>
    <w:rsid w:val="00A66FC6"/>
    <w:rsid w:val="00A70082"/>
    <w:rsid w:val="00A70850"/>
    <w:rsid w:val="00A70AB5"/>
    <w:rsid w:val="00A756D2"/>
    <w:rsid w:val="00A76142"/>
    <w:rsid w:val="00A92333"/>
    <w:rsid w:val="00A92C47"/>
    <w:rsid w:val="00A94A74"/>
    <w:rsid w:val="00A94A95"/>
    <w:rsid w:val="00A95AEC"/>
    <w:rsid w:val="00A964FE"/>
    <w:rsid w:val="00AA2576"/>
    <w:rsid w:val="00AA2AB8"/>
    <w:rsid w:val="00AA4717"/>
    <w:rsid w:val="00AB3E24"/>
    <w:rsid w:val="00AB4315"/>
    <w:rsid w:val="00AB545F"/>
    <w:rsid w:val="00AB5B1A"/>
    <w:rsid w:val="00AD02CB"/>
    <w:rsid w:val="00AD2FB3"/>
    <w:rsid w:val="00AD405B"/>
    <w:rsid w:val="00AD56D8"/>
    <w:rsid w:val="00AD5FE1"/>
    <w:rsid w:val="00AD6C1B"/>
    <w:rsid w:val="00AD7155"/>
    <w:rsid w:val="00AD7EB2"/>
    <w:rsid w:val="00AE6372"/>
    <w:rsid w:val="00AF2666"/>
    <w:rsid w:val="00AF3B62"/>
    <w:rsid w:val="00AF4932"/>
    <w:rsid w:val="00B00052"/>
    <w:rsid w:val="00B04587"/>
    <w:rsid w:val="00B067C8"/>
    <w:rsid w:val="00B06964"/>
    <w:rsid w:val="00B06CDD"/>
    <w:rsid w:val="00B0793A"/>
    <w:rsid w:val="00B1031A"/>
    <w:rsid w:val="00B11040"/>
    <w:rsid w:val="00B14325"/>
    <w:rsid w:val="00B14AB7"/>
    <w:rsid w:val="00B14AFC"/>
    <w:rsid w:val="00B15BB9"/>
    <w:rsid w:val="00B2168A"/>
    <w:rsid w:val="00B21694"/>
    <w:rsid w:val="00B24C68"/>
    <w:rsid w:val="00B25725"/>
    <w:rsid w:val="00B31061"/>
    <w:rsid w:val="00B326F9"/>
    <w:rsid w:val="00B35DC3"/>
    <w:rsid w:val="00B3639C"/>
    <w:rsid w:val="00B369A4"/>
    <w:rsid w:val="00B36D68"/>
    <w:rsid w:val="00B376EB"/>
    <w:rsid w:val="00B412DC"/>
    <w:rsid w:val="00B44C92"/>
    <w:rsid w:val="00B458C7"/>
    <w:rsid w:val="00B47324"/>
    <w:rsid w:val="00B479BB"/>
    <w:rsid w:val="00B51FA5"/>
    <w:rsid w:val="00B53514"/>
    <w:rsid w:val="00B54572"/>
    <w:rsid w:val="00B603BF"/>
    <w:rsid w:val="00B62518"/>
    <w:rsid w:val="00B65DF4"/>
    <w:rsid w:val="00B7299B"/>
    <w:rsid w:val="00B74571"/>
    <w:rsid w:val="00B74A80"/>
    <w:rsid w:val="00B74C0C"/>
    <w:rsid w:val="00B8053C"/>
    <w:rsid w:val="00B81641"/>
    <w:rsid w:val="00B9014C"/>
    <w:rsid w:val="00B90914"/>
    <w:rsid w:val="00B9244F"/>
    <w:rsid w:val="00B933CF"/>
    <w:rsid w:val="00B94D00"/>
    <w:rsid w:val="00B96C46"/>
    <w:rsid w:val="00B97006"/>
    <w:rsid w:val="00BA0EB0"/>
    <w:rsid w:val="00BA3623"/>
    <w:rsid w:val="00BB0CB9"/>
    <w:rsid w:val="00BB2EAC"/>
    <w:rsid w:val="00BB3925"/>
    <w:rsid w:val="00BB798E"/>
    <w:rsid w:val="00BB7AF6"/>
    <w:rsid w:val="00BC1FFC"/>
    <w:rsid w:val="00BC2FDD"/>
    <w:rsid w:val="00BC39BF"/>
    <w:rsid w:val="00BC61A7"/>
    <w:rsid w:val="00BC7730"/>
    <w:rsid w:val="00BD364B"/>
    <w:rsid w:val="00BD3DA8"/>
    <w:rsid w:val="00BE0B9D"/>
    <w:rsid w:val="00BE1931"/>
    <w:rsid w:val="00BE2AE5"/>
    <w:rsid w:val="00BE3949"/>
    <w:rsid w:val="00BE48F3"/>
    <w:rsid w:val="00BF0369"/>
    <w:rsid w:val="00BF6E6B"/>
    <w:rsid w:val="00BF7DD3"/>
    <w:rsid w:val="00C0231E"/>
    <w:rsid w:val="00C03564"/>
    <w:rsid w:val="00C060B2"/>
    <w:rsid w:val="00C12108"/>
    <w:rsid w:val="00C13950"/>
    <w:rsid w:val="00C1415C"/>
    <w:rsid w:val="00C1468E"/>
    <w:rsid w:val="00C175AE"/>
    <w:rsid w:val="00C21C2D"/>
    <w:rsid w:val="00C22D45"/>
    <w:rsid w:val="00C2647F"/>
    <w:rsid w:val="00C27041"/>
    <w:rsid w:val="00C27E1A"/>
    <w:rsid w:val="00C27F45"/>
    <w:rsid w:val="00C30004"/>
    <w:rsid w:val="00C3144B"/>
    <w:rsid w:val="00C31C57"/>
    <w:rsid w:val="00C32A2D"/>
    <w:rsid w:val="00C3388E"/>
    <w:rsid w:val="00C35AAC"/>
    <w:rsid w:val="00C400D8"/>
    <w:rsid w:val="00C420B0"/>
    <w:rsid w:val="00C456E6"/>
    <w:rsid w:val="00C4755D"/>
    <w:rsid w:val="00C50B03"/>
    <w:rsid w:val="00C514CE"/>
    <w:rsid w:val="00C5609D"/>
    <w:rsid w:val="00C6023A"/>
    <w:rsid w:val="00C61B1E"/>
    <w:rsid w:val="00C6283E"/>
    <w:rsid w:val="00C6388F"/>
    <w:rsid w:val="00C66C47"/>
    <w:rsid w:val="00C67661"/>
    <w:rsid w:val="00C730E4"/>
    <w:rsid w:val="00C74F9E"/>
    <w:rsid w:val="00C76380"/>
    <w:rsid w:val="00C774BA"/>
    <w:rsid w:val="00C77F59"/>
    <w:rsid w:val="00C8008F"/>
    <w:rsid w:val="00C808C9"/>
    <w:rsid w:val="00C80E07"/>
    <w:rsid w:val="00C8262F"/>
    <w:rsid w:val="00C832E6"/>
    <w:rsid w:val="00C855E2"/>
    <w:rsid w:val="00C86DDF"/>
    <w:rsid w:val="00C87880"/>
    <w:rsid w:val="00C87E50"/>
    <w:rsid w:val="00C91384"/>
    <w:rsid w:val="00C92404"/>
    <w:rsid w:val="00C929E7"/>
    <w:rsid w:val="00C96CB5"/>
    <w:rsid w:val="00C97636"/>
    <w:rsid w:val="00CA1DB0"/>
    <w:rsid w:val="00CA2D7E"/>
    <w:rsid w:val="00CA5C41"/>
    <w:rsid w:val="00CA6A12"/>
    <w:rsid w:val="00CA6B34"/>
    <w:rsid w:val="00CA72E7"/>
    <w:rsid w:val="00CB0497"/>
    <w:rsid w:val="00CB193A"/>
    <w:rsid w:val="00CB2ACC"/>
    <w:rsid w:val="00CB3DD0"/>
    <w:rsid w:val="00CB5029"/>
    <w:rsid w:val="00CB6FCC"/>
    <w:rsid w:val="00CC08DA"/>
    <w:rsid w:val="00CC36DE"/>
    <w:rsid w:val="00CC4406"/>
    <w:rsid w:val="00CC6823"/>
    <w:rsid w:val="00CD0AE8"/>
    <w:rsid w:val="00CD1AF6"/>
    <w:rsid w:val="00CD1F70"/>
    <w:rsid w:val="00CD25A1"/>
    <w:rsid w:val="00CD2C93"/>
    <w:rsid w:val="00CD4509"/>
    <w:rsid w:val="00CD5931"/>
    <w:rsid w:val="00CE1C1C"/>
    <w:rsid w:val="00CE296E"/>
    <w:rsid w:val="00CE457B"/>
    <w:rsid w:val="00CE4757"/>
    <w:rsid w:val="00CE566B"/>
    <w:rsid w:val="00CE650F"/>
    <w:rsid w:val="00CF0B64"/>
    <w:rsid w:val="00CF2055"/>
    <w:rsid w:val="00CF20FF"/>
    <w:rsid w:val="00CF312A"/>
    <w:rsid w:val="00CF52B3"/>
    <w:rsid w:val="00CF5B08"/>
    <w:rsid w:val="00D028CC"/>
    <w:rsid w:val="00D02A56"/>
    <w:rsid w:val="00D11843"/>
    <w:rsid w:val="00D12C23"/>
    <w:rsid w:val="00D1754C"/>
    <w:rsid w:val="00D21C9A"/>
    <w:rsid w:val="00D21DE9"/>
    <w:rsid w:val="00D22FDA"/>
    <w:rsid w:val="00D2302B"/>
    <w:rsid w:val="00D24FDE"/>
    <w:rsid w:val="00D256AF"/>
    <w:rsid w:val="00D26DDA"/>
    <w:rsid w:val="00D27AE7"/>
    <w:rsid w:val="00D310BC"/>
    <w:rsid w:val="00D31BD6"/>
    <w:rsid w:val="00D372C4"/>
    <w:rsid w:val="00D44C91"/>
    <w:rsid w:val="00D55EFE"/>
    <w:rsid w:val="00D562E2"/>
    <w:rsid w:val="00D56A5F"/>
    <w:rsid w:val="00D56A9B"/>
    <w:rsid w:val="00D579CF"/>
    <w:rsid w:val="00D61084"/>
    <w:rsid w:val="00D639F4"/>
    <w:rsid w:val="00D641CB"/>
    <w:rsid w:val="00D64F13"/>
    <w:rsid w:val="00D7476E"/>
    <w:rsid w:val="00D755FB"/>
    <w:rsid w:val="00D75E63"/>
    <w:rsid w:val="00D82154"/>
    <w:rsid w:val="00D842CC"/>
    <w:rsid w:val="00D91EE6"/>
    <w:rsid w:val="00D94B3F"/>
    <w:rsid w:val="00DA1C7C"/>
    <w:rsid w:val="00DA773C"/>
    <w:rsid w:val="00DA7C71"/>
    <w:rsid w:val="00DB1506"/>
    <w:rsid w:val="00DB25ED"/>
    <w:rsid w:val="00DB29A7"/>
    <w:rsid w:val="00DB3146"/>
    <w:rsid w:val="00DB35A9"/>
    <w:rsid w:val="00DB51AF"/>
    <w:rsid w:val="00DB6DFB"/>
    <w:rsid w:val="00DC3218"/>
    <w:rsid w:val="00DC34B7"/>
    <w:rsid w:val="00DC35F1"/>
    <w:rsid w:val="00DC3758"/>
    <w:rsid w:val="00DC623B"/>
    <w:rsid w:val="00DC7636"/>
    <w:rsid w:val="00DD1F6F"/>
    <w:rsid w:val="00DD3456"/>
    <w:rsid w:val="00DD40A7"/>
    <w:rsid w:val="00DD6A58"/>
    <w:rsid w:val="00DE3393"/>
    <w:rsid w:val="00DE4B87"/>
    <w:rsid w:val="00DE6EB5"/>
    <w:rsid w:val="00DE7F9B"/>
    <w:rsid w:val="00DF1200"/>
    <w:rsid w:val="00DF22C7"/>
    <w:rsid w:val="00E01554"/>
    <w:rsid w:val="00E01A70"/>
    <w:rsid w:val="00E01AA1"/>
    <w:rsid w:val="00E128F8"/>
    <w:rsid w:val="00E13F96"/>
    <w:rsid w:val="00E15132"/>
    <w:rsid w:val="00E16640"/>
    <w:rsid w:val="00E17075"/>
    <w:rsid w:val="00E20632"/>
    <w:rsid w:val="00E20FCF"/>
    <w:rsid w:val="00E222CA"/>
    <w:rsid w:val="00E22340"/>
    <w:rsid w:val="00E232C1"/>
    <w:rsid w:val="00E24641"/>
    <w:rsid w:val="00E2568D"/>
    <w:rsid w:val="00E269C7"/>
    <w:rsid w:val="00E26BBA"/>
    <w:rsid w:val="00E308FB"/>
    <w:rsid w:val="00E31977"/>
    <w:rsid w:val="00E319F0"/>
    <w:rsid w:val="00E35C98"/>
    <w:rsid w:val="00E37007"/>
    <w:rsid w:val="00E43114"/>
    <w:rsid w:val="00E44E8E"/>
    <w:rsid w:val="00E45563"/>
    <w:rsid w:val="00E50785"/>
    <w:rsid w:val="00E521D4"/>
    <w:rsid w:val="00E55B38"/>
    <w:rsid w:val="00E61C1F"/>
    <w:rsid w:val="00E6229F"/>
    <w:rsid w:val="00E629D2"/>
    <w:rsid w:val="00E63685"/>
    <w:rsid w:val="00E6402D"/>
    <w:rsid w:val="00E71C0C"/>
    <w:rsid w:val="00E72DFA"/>
    <w:rsid w:val="00E7388E"/>
    <w:rsid w:val="00E739DF"/>
    <w:rsid w:val="00E75A80"/>
    <w:rsid w:val="00E772C9"/>
    <w:rsid w:val="00E80B7C"/>
    <w:rsid w:val="00E82045"/>
    <w:rsid w:val="00E82CB1"/>
    <w:rsid w:val="00E87B81"/>
    <w:rsid w:val="00E87D4F"/>
    <w:rsid w:val="00E9187C"/>
    <w:rsid w:val="00E93F9B"/>
    <w:rsid w:val="00E9654A"/>
    <w:rsid w:val="00EA02FA"/>
    <w:rsid w:val="00EA07C2"/>
    <w:rsid w:val="00EA1C1D"/>
    <w:rsid w:val="00EA2830"/>
    <w:rsid w:val="00EA3B11"/>
    <w:rsid w:val="00EA7729"/>
    <w:rsid w:val="00EB124B"/>
    <w:rsid w:val="00EB4B78"/>
    <w:rsid w:val="00EB4D11"/>
    <w:rsid w:val="00EC0065"/>
    <w:rsid w:val="00EC0EAD"/>
    <w:rsid w:val="00EC2704"/>
    <w:rsid w:val="00EC3E3D"/>
    <w:rsid w:val="00EC5C66"/>
    <w:rsid w:val="00ED1DCB"/>
    <w:rsid w:val="00ED328B"/>
    <w:rsid w:val="00ED5296"/>
    <w:rsid w:val="00ED7FEE"/>
    <w:rsid w:val="00EE5D59"/>
    <w:rsid w:val="00EE6A41"/>
    <w:rsid w:val="00EE7CAB"/>
    <w:rsid w:val="00EF1200"/>
    <w:rsid w:val="00EF205B"/>
    <w:rsid w:val="00F052ED"/>
    <w:rsid w:val="00F07EF9"/>
    <w:rsid w:val="00F1054F"/>
    <w:rsid w:val="00F17821"/>
    <w:rsid w:val="00F17D7A"/>
    <w:rsid w:val="00F21E35"/>
    <w:rsid w:val="00F22281"/>
    <w:rsid w:val="00F25D14"/>
    <w:rsid w:val="00F304FC"/>
    <w:rsid w:val="00F31B51"/>
    <w:rsid w:val="00F32022"/>
    <w:rsid w:val="00F328B5"/>
    <w:rsid w:val="00F32A63"/>
    <w:rsid w:val="00F32D21"/>
    <w:rsid w:val="00F36489"/>
    <w:rsid w:val="00F36C2C"/>
    <w:rsid w:val="00F44B72"/>
    <w:rsid w:val="00F45869"/>
    <w:rsid w:val="00F4655C"/>
    <w:rsid w:val="00F466BF"/>
    <w:rsid w:val="00F51E2C"/>
    <w:rsid w:val="00F5264B"/>
    <w:rsid w:val="00F544BC"/>
    <w:rsid w:val="00F570B4"/>
    <w:rsid w:val="00F65564"/>
    <w:rsid w:val="00F65EB9"/>
    <w:rsid w:val="00F7225F"/>
    <w:rsid w:val="00F731E8"/>
    <w:rsid w:val="00F753B4"/>
    <w:rsid w:val="00F77872"/>
    <w:rsid w:val="00F80E3C"/>
    <w:rsid w:val="00F81023"/>
    <w:rsid w:val="00F816C3"/>
    <w:rsid w:val="00F82132"/>
    <w:rsid w:val="00F830D5"/>
    <w:rsid w:val="00F8330F"/>
    <w:rsid w:val="00F84F6E"/>
    <w:rsid w:val="00F85F33"/>
    <w:rsid w:val="00F86B90"/>
    <w:rsid w:val="00F91DB7"/>
    <w:rsid w:val="00F92570"/>
    <w:rsid w:val="00F92D63"/>
    <w:rsid w:val="00FA5CF6"/>
    <w:rsid w:val="00FA5F69"/>
    <w:rsid w:val="00FA6578"/>
    <w:rsid w:val="00FB0F48"/>
    <w:rsid w:val="00FB2C47"/>
    <w:rsid w:val="00FB375D"/>
    <w:rsid w:val="00FB4624"/>
    <w:rsid w:val="00FB648E"/>
    <w:rsid w:val="00FB7265"/>
    <w:rsid w:val="00FC0095"/>
    <w:rsid w:val="00FC1F64"/>
    <w:rsid w:val="00FC399F"/>
    <w:rsid w:val="00FC59F5"/>
    <w:rsid w:val="00FC7B10"/>
    <w:rsid w:val="00FD1BD6"/>
    <w:rsid w:val="00FD2641"/>
    <w:rsid w:val="00FD29E5"/>
    <w:rsid w:val="00FD78F2"/>
    <w:rsid w:val="00FE1B52"/>
    <w:rsid w:val="00FE1C67"/>
    <w:rsid w:val="00FE379A"/>
    <w:rsid w:val="00FE4ABA"/>
    <w:rsid w:val="00FE62FA"/>
    <w:rsid w:val="00FF487D"/>
    <w:rsid w:val="00FF5222"/>
    <w:rsid w:val="00FF538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3D10B"/>
  <w15:chartTrackingRefBased/>
  <w15:docId w15:val="{7E4536D3-646D-4A92-B042-96304F982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814BA1"/>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814BA1"/>
    <w:rPr>
      <w:rFonts w:ascii="Segoe UI" w:hAnsi="Segoe UI" w:cs="Segoe UI"/>
      <w:sz w:val="18"/>
      <w:szCs w:val="18"/>
    </w:rPr>
  </w:style>
  <w:style w:type="paragraph" w:styleId="Odlomakpopisa">
    <w:name w:val="List Paragraph"/>
    <w:basedOn w:val="Normal"/>
    <w:uiPriority w:val="34"/>
    <w:qFormat/>
    <w:rsid w:val="00B81641"/>
    <w:pPr>
      <w:ind w:left="720"/>
      <w:contextualSpacing/>
    </w:pPr>
  </w:style>
  <w:style w:type="character" w:styleId="Naglaeno">
    <w:name w:val="Strong"/>
    <w:uiPriority w:val="22"/>
    <w:qFormat/>
    <w:rsid w:val="00CC08DA"/>
    <w:rPr>
      <w:b/>
      <w:bCs/>
    </w:rPr>
  </w:style>
  <w:style w:type="paragraph" w:styleId="Zaglavlje">
    <w:name w:val="header"/>
    <w:basedOn w:val="Normal"/>
    <w:link w:val="ZaglavljeChar"/>
    <w:uiPriority w:val="99"/>
    <w:unhideWhenUsed/>
    <w:rsid w:val="00B3639C"/>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B3639C"/>
  </w:style>
  <w:style w:type="paragraph" w:styleId="Podnoje">
    <w:name w:val="footer"/>
    <w:basedOn w:val="Normal"/>
    <w:link w:val="PodnojeChar"/>
    <w:uiPriority w:val="99"/>
    <w:unhideWhenUsed/>
    <w:rsid w:val="00B3639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363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350285">
      <w:bodyDiv w:val="1"/>
      <w:marLeft w:val="0"/>
      <w:marRight w:val="0"/>
      <w:marTop w:val="0"/>
      <w:marBottom w:val="0"/>
      <w:divBdr>
        <w:top w:val="none" w:sz="0" w:space="0" w:color="auto"/>
        <w:left w:val="none" w:sz="0" w:space="0" w:color="auto"/>
        <w:bottom w:val="none" w:sz="0" w:space="0" w:color="auto"/>
        <w:right w:val="none" w:sz="0" w:space="0" w:color="auto"/>
      </w:divBdr>
    </w:div>
    <w:div w:id="414858637">
      <w:bodyDiv w:val="1"/>
      <w:marLeft w:val="0"/>
      <w:marRight w:val="0"/>
      <w:marTop w:val="0"/>
      <w:marBottom w:val="0"/>
      <w:divBdr>
        <w:top w:val="none" w:sz="0" w:space="0" w:color="auto"/>
        <w:left w:val="none" w:sz="0" w:space="0" w:color="auto"/>
        <w:bottom w:val="none" w:sz="0" w:space="0" w:color="auto"/>
        <w:right w:val="none" w:sz="0" w:space="0" w:color="auto"/>
      </w:divBdr>
    </w:div>
    <w:div w:id="470828706">
      <w:bodyDiv w:val="1"/>
      <w:marLeft w:val="0"/>
      <w:marRight w:val="0"/>
      <w:marTop w:val="0"/>
      <w:marBottom w:val="0"/>
      <w:divBdr>
        <w:top w:val="none" w:sz="0" w:space="0" w:color="auto"/>
        <w:left w:val="none" w:sz="0" w:space="0" w:color="auto"/>
        <w:bottom w:val="none" w:sz="0" w:space="0" w:color="auto"/>
        <w:right w:val="none" w:sz="0" w:space="0" w:color="auto"/>
      </w:divBdr>
    </w:div>
    <w:div w:id="567810918">
      <w:bodyDiv w:val="1"/>
      <w:marLeft w:val="0"/>
      <w:marRight w:val="0"/>
      <w:marTop w:val="0"/>
      <w:marBottom w:val="0"/>
      <w:divBdr>
        <w:top w:val="none" w:sz="0" w:space="0" w:color="auto"/>
        <w:left w:val="none" w:sz="0" w:space="0" w:color="auto"/>
        <w:bottom w:val="none" w:sz="0" w:space="0" w:color="auto"/>
        <w:right w:val="none" w:sz="0" w:space="0" w:color="auto"/>
      </w:divBdr>
    </w:div>
    <w:div w:id="941380539">
      <w:bodyDiv w:val="1"/>
      <w:marLeft w:val="0"/>
      <w:marRight w:val="0"/>
      <w:marTop w:val="0"/>
      <w:marBottom w:val="0"/>
      <w:divBdr>
        <w:top w:val="none" w:sz="0" w:space="0" w:color="auto"/>
        <w:left w:val="none" w:sz="0" w:space="0" w:color="auto"/>
        <w:bottom w:val="none" w:sz="0" w:space="0" w:color="auto"/>
        <w:right w:val="none" w:sz="0" w:space="0" w:color="auto"/>
      </w:divBdr>
    </w:div>
    <w:div w:id="1290819053">
      <w:bodyDiv w:val="1"/>
      <w:marLeft w:val="0"/>
      <w:marRight w:val="0"/>
      <w:marTop w:val="0"/>
      <w:marBottom w:val="0"/>
      <w:divBdr>
        <w:top w:val="none" w:sz="0" w:space="0" w:color="auto"/>
        <w:left w:val="none" w:sz="0" w:space="0" w:color="auto"/>
        <w:bottom w:val="none" w:sz="0" w:space="0" w:color="auto"/>
        <w:right w:val="none" w:sz="0" w:space="0" w:color="auto"/>
      </w:divBdr>
    </w:div>
    <w:div w:id="1435662804">
      <w:bodyDiv w:val="1"/>
      <w:marLeft w:val="0"/>
      <w:marRight w:val="0"/>
      <w:marTop w:val="0"/>
      <w:marBottom w:val="0"/>
      <w:divBdr>
        <w:top w:val="none" w:sz="0" w:space="0" w:color="auto"/>
        <w:left w:val="none" w:sz="0" w:space="0" w:color="auto"/>
        <w:bottom w:val="none" w:sz="0" w:space="0" w:color="auto"/>
        <w:right w:val="none" w:sz="0" w:space="0" w:color="auto"/>
      </w:divBdr>
    </w:div>
    <w:div w:id="1563567200">
      <w:bodyDiv w:val="1"/>
      <w:marLeft w:val="0"/>
      <w:marRight w:val="0"/>
      <w:marTop w:val="0"/>
      <w:marBottom w:val="0"/>
      <w:divBdr>
        <w:top w:val="none" w:sz="0" w:space="0" w:color="auto"/>
        <w:left w:val="none" w:sz="0" w:space="0" w:color="auto"/>
        <w:bottom w:val="none" w:sz="0" w:space="0" w:color="auto"/>
        <w:right w:val="none" w:sz="0" w:space="0" w:color="auto"/>
      </w:divBdr>
    </w:div>
    <w:div w:id="1673413002">
      <w:bodyDiv w:val="1"/>
      <w:marLeft w:val="0"/>
      <w:marRight w:val="0"/>
      <w:marTop w:val="0"/>
      <w:marBottom w:val="0"/>
      <w:divBdr>
        <w:top w:val="none" w:sz="0" w:space="0" w:color="auto"/>
        <w:left w:val="none" w:sz="0" w:space="0" w:color="auto"/>
        <w:bottom w:val="none" w:sz="0" w:space="0" w:color="auto"/>
        <w:right w:val="none" w:sz="0" w:space="0" w:color="auto"/>
      </w:divBdr>
    </w:div>
    <w:div w:id="1842618373">
      <w:bodyDiv w:val="1"/>
      <w:marLeft w:val="0"/>
      <w:marRight w:val="0"/>
      <w:marTop w:val="0"/>
      <w:marBottom w:val="0"/>
      <w:divBdr>
        <w:top w:val="none" w:sz="0" w:space="0" w:color="auto"/>
        <w:left w:val="none" w:sz="0" w:space="0" w:color="auto"/>
        <w:bottom w:val="none" w:sz="0" w:space="0" w:color="auto"/>
        <w:right w:val="none" w:sz="0" w:space="0" w:color="auto"/>
      </w:divBdr>
    </w:div>
    <w:div w:id="211478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1992A-2FE6-4299-8BE1-C3EB1692D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10153</Words>
  <Characters>57875</Characters>
  <Application>Microsoft Office Word</Application>
  <DocSecurity>0</DocSecurity>
  <Lines>482</Lines>
  <Paragraphs>135</Paragraphs>
  <ScaleCrop>false</ScaleCrop>
  <HeadingPairs>
    <vt:vector size="2" baseType="variant">
      <vt:variant>
        <vt:lpstr>Naslov</vt:lpstr>
      </vt:variant>
      <vt:variant>
        <vt:i4>1</vt:i4>
      </vt:variant>
    </vt:vector>
  </HeadingPairs>
  <TitlesOfParts>
    <vt:vector size="1" baseType="lpstr">
      <vt:lpstr/>
    </vt:vector>
  </TitlesOfParts>
  <Company>MUP RH</Company>
  <LinksUpToDate>false</LinksUpToDate>
  <CharactersWithSpaces>67893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Zanoški Martina</dc:creator>
  <cp:keywords/>
  <dc:description/>
  <cp:lastModifiedBy>Jolić Tomislav</cp:lastModifiedBy>
  <cp:revision>2</cp:revision>
  <cp:lastPrinted>2025-04-15T12:11:00Z</cp:lastPrinted>
  <dcterms:created xsi:type="dcterms:W3CDTF">2025-04-15T12:11:00Z</dcterms:created>
  <dcterms:modified xsi:type="dcterms:W3CDTF">2025-04-15T12:11:00Z</dcterms:modified>
</cp:coreProperties>
</file>